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3A600">
      <w:pPr>
        <w:spacing w:line="360" w:lineRule="auto"/>
        <w:jc w:val="right"/>
        <w:rPr>
          <w:rFonts w:ascii="宋体" w:hAnsi="宋体"/>
          <w:b/>
          <w:color w:val="000000"/>
          <w:sz w:val="28"/>
          <w:szCs w:val="28"/>
        </w:rPr>
      </w:pPr>
      <w:bookmarkStart w:id="71" w:name="_GoBack"/>
      <w:bookmarkEnd w:id="71"/>
      <w:r>
        <w:rPr>
          <w:rFonts w:ascii="宋体" w:hAnsi="宋体"/>
          <w:color w:val="000000"/>
        </w:rPr>
        <w:drawing>
          <wp:inline distT="0" distB="0" distL="0" distR="0">
            <wp:extent cx="1221740" cy="5905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21740" cy="590550"/>
                    </a:xfrm>
                    <a:prstGeom prst="rect">
                      <a:avLst/>
                    </a:prstGeom>
                    <a:noFill/>
                    <a:ln>
                      <a:noFill/>
                    </a:ln>
                  </pic:spPr>
                </pic:pic>
              </a:graphicData>
            </a:graphic>
          </wp:inline>
        </w:drawing>
      </w:r>
    </w:p>
    <w:p w14:paraId="66041C73">
      <w:pPr>
        <w:pStyle w:val="27"/>
        <w:spacing w:before="120" w:line="360" w:lineRule="auto"/>
        <w:jc w:val="center"/>
        <w:rPr>
          <w:rFonts w:hAnsi="宋体"/>
          <w:b/>
          <w:bCs/>
          <w:color w:val="000000"/>
          <w:sz w:val="48"/>
          <w:szCs w:val="48"/>
        </w:rPr>
      </w:pPr>
    </w:p>
    <w:p w14:paraId="46C4486F">
      <w:pPr>
        <w:spacing w:line="360" w:lineRule="auto"/>
        <w:jc w:val="center"/>
        <w:rPr>
          <w:rFonts w:ascii="宋体" w:hAnsi="宋体"/>
          <w:color w:val="000000"/>
          <w:spacing w:val="24"/>
          <w:sz w:val="48"/>
          <w:szCs w:val="48"/>
        </w:rPr>
      </w:pPr>
      <w:r>
        <w:rPr>
          <w:rFonts w:hint="eastAsia" w:ascii="宋体" w:hAnsi="宋体" w:cs="Courier New"/>
          <w:b/>
          <w:bCs/>
          <w:color w:val="000000"/>
          <w:sz w:val="48"/>
          <w:szCs w:val="48"/>
        </w:rPr>
        <w:t>陆丰分公司数字电视平台统一项目（软件）</w:t>
      </w:r>
    </w:p>
    <w:p w14:paraId="731BB04D">
      <w:pPr>
        <w:spacing w:line="360" w:lineRule="auto"/>
        <w:jc w:val="center"/>
        <w:rPr>
          <w:rFonts w:ascii="宋体" w:hAnsi="宋体"/>
          <w:color w:val="000000"/>
          <w:spacing w:val="24"/>
          <w:sz w:val="48"/>
          <w:szCs w:val="48"/>
        </w:rPr>
      </w:pPr>
    </w:p>
    <w:p w14:paraId="08475BFC">
      <w:pPr>
        <w:pStyle w:val="27"/>
        <w:spacing w:before="120" w:line="360" w:lineRule="auto"/>
        <w:jc w:val="center"/>
        <w:rPr>
          <w:rFonts w:hAnsi="宋体"/>
          <w:b/>
          <w:bCs/>
          <w:color w:val="000000"/>
          <w:sz w:val="84"/>
          <w:szCs w:val="84"/>
        </w:rPr>
      </w:pPr>
      <w:r>
        <w:rPr>
          <w:rFonts w:hint="eastAsia" w:hAnsi="宋体"/>
          <w:b/>
          <w:bCs/>
          <w:color w:val="000000"/>
          <w:sz w:val="84"/>
          <w:szCs w:val="84"/>
        </w:rPr>
        <w:t>竞价文件</w:t>
      </w:r>
    </w:p>
    <w:p w14:paraId="34A07624">
      <w:pPr>
        <w:jc w:val="center"/>
        <w:rPr>
          <w:rFonts w:ascii="宋体" w:hAnsi="宋体"/>
          <w:color w:val="000000"/>
          <w:sz w:val="52"/>
          <w:szCs w:val="52"/>
          <w:u w:val="single"/>
        </w:rPr>
      </w:pPr>
      <w:r>
        <w:rPr>
          <w:rFonts w:hint="eastAsia" w:ascii="宋体" w:hAnsi="宋体"/>
          <w:b/>
          <w:bCs/>
          <w:color w:val="000000"/>
          <w:sz w:val="32"/>
          <w:szCs w:val="32"/>
        </w:rPr>
        <w:t>采购项目编号：</w:t>
      </w:r>
      <w:r>
        <w:rPr>
          <w:rFonts w:ascii="宋体" w:hAnsi="宋体"/>
          <w:b/>
          <w:bCs/>
          <w:color w:val="000000"/>
          <w:sz w:val="32"/>
          <w:szCs w:val="32"/>
        </w:rPr>
        <w:t>04-06-04H-2025-D-E11740</w:t>
      </w:r>
    </w:p>
    <w:p w14:paraId="0AE10146">
      <w:pPr>
        <w:jc w:val="center"/>
        <w:rPr>
          <w:rFonts w:ascii="宋体" w:hAnsi="宋体"/>
          <w:color w:val="000000"/>
          <w:sz w:val="52"/>
          <w:szCs w:val="52"/>
          <w:u w:val="single"/>
        </w:rPr>
      </w:pPr>
    </w:p>
    <w:p w14:paraId="74FA84C3">
      <w:pPr>
        <w:spacing w:before="120" w:beforeLines="50" w:after="120" w:afterLines="50"/>
        <w:jc w:val="center"/>
        <w:rPr>
          <w:rFonts w:ascii="宋体" w:hAnsi="宋体"/>
          <w:b/>
          <w:color w:val="000000"/>
          <w:sz w:val="52"/>
          <w:szCs w:val="52"/>
        </w:rPr>
      </w:pPr>
    </w:p>
    <w:p w14:paraId="49C41EBB">
      <w:pPr>
        <w:spacing w:line="360" w:lineRule="auto"/>
        <w:jc w:val="center"/>
        <w:rPr>
          <w:rFonts w:ascii="宋体" w:hAnsi="宋体"/>
          <w:color w:val="000000"/>
          <w:sz w:val="44"/>
          <w:szCs w:val="44"/>
        </w:rPr>
      </w:pPr>
    </w:p>
    <w:p w14:paraId="03DBC960">
      <w:pPr>
        <w:spacing w:before="120" w:line="360" w:lineRule="auto"/>
        <w:jc w:val="center"/>
        <w:rPr>
          <w:rFonts w:ascii="宋体" w:hAnsi="宋体" w:cs="Arial"/>
          <w:b/>
          <w:bCs/>
          <w:color w:val="000000"/>
          <w:sz w:val="30"/>
          <w:szCs w:val="28"/>
        </w:rPr>
      </w:pPr>
      <w:r>
        <w:rPr>
          <w:rFonts w:hint="eastAsia" w:ascii="宋体" w:hAnsi="宋体" w:cs="Arial"/>
          <w:b/>
          <w:bCs/>
          <w:color w:val="000000"/>
          <w:sz w:val="30"/>
          <w:szCs w:val="28"/>
        </w:rPr>
        <w:t>采购人：</w:t>
      </w:r>
      <w:r>
        <w:rPr>
          <w:rFonts w:ascii="宋体" w:hAnsi="宋体" w:cs="Arial"/>
          <w:b/>
          <w:bCs/>
          <w:color w:val="000000"/>
          <w:sz w:val="30"/>
          <w:szCs w:val="28"/>
        </w:rPr>
        <w:t xml:space="preserve"> </w:t>
      </w:r>
      <w:r>
        <w:rPr>
          <w:rFonts w:hint="eastAsia" w:ascii="宋体" w:hAnsi="宋体" w:cs="Arial"/>
          <w:b/>
          <w:bCs/>
          <w:color w:val="000000"/>
          <w:sz w:val="30"/>
          <w:szCs w:val="28"/>
        </w:rPr>
        <w:t>广东省广播电视网络股份有限公司汕尾分公司</w:t>
      </w:r>
    </w:p>
    <w:p w14:paraId="21C90865">
      <w:pPr>
        <w:spacing w:before="120" w:line="360" w:lineRule="auto"/>
        <w:ind w:firstLine="1807" w:firstLineChars="600"/>
        <w:rPr>
          <w:rFonts w:ascii="宋体" w:hAnsi="宋体" w:cs="Arial"/>
          <w:b/>
          <w:bCs/>
          <w:color w:val="000000"/>
          <w:sz w:val="30"/>
        </w:rPr>
      </w:pPr>
      <w:r>
        <w:rPr>
          <w:rFonts w:hint="eastAsia" w:ascii="宋体" w:hAnsi="宋体" w:cs="Arial"/>
          <w:b/>
          <w:bCs/>
          <w:color w:val="000000"/>
          <w:sz w:val="30"/>
        </w:rPr>
        <w:t>采购代理机构：公诚管理咨询有限公司</w:t>
      </w:r>
    </w:p>
    <w:p w14:paraId="3853DE16">
      <w:pPr>
        <w:tabs>
          <w:tab w:val="center" w:pos="4621"/>
          <w:tab w:val="left" w:pos="6015"/>
        </w:tabs>
        <w:spacing w:before="120" w:beforeLines="50" w:after="120" w:afterLines="50" w:line="360" w:lineRule="auto"/>
        <w:jc w:val="center"/>
        <w:rPr>
          <w:rFonts w:ascii="宋体" w:hAnsi="宋体"/>
          <w:b/>
          <w:color w:val="000000"/>
          <w:sz w:val="32"/>
          <w:szCs w:val="32"/>
        </w:rPr>
        <w:sectPr>
          <w:headerReference r:id="rId4" w:type="first"/>
          <w:footerReference r:id="rId7" w:type="first"/>
          <w:headerReference r:id="rId3" w:type="default"/>
          <w:footerReference r:id="rId5" w:type="default"/>
          <w:footerReference r:id="rId6" w:type="even"/>
          <w:pgSz w:w="11907" w:h="16840"/>
          <w:pgMar w:top="1361" w:right="1304" w:bottom="1361" w:left="1361" w:header="794" w:footer="794" w:gutter="0"/>
          <w:pgNumType w:start="1"/>
          <w:cols w:space="720" w:num="1"/>
          <w:docGrid w:linePitch="286" w:charSpace="0"/>
        </w:sectPr>
      </w:pPr>
      <w:r>
        <w:rPr>
          <w:rFonts w:hint="eastAsia" w:ascii="宋体" w:hAnsi="宋体"/>
          <w:b/>
          <w:color w:val="000000"/>
          <w:sz w:val="28"/>
          <w:szCs w:val="28"/>
        </w:rPr>
        <w:t>二O二五年六月</w:t>
      </w:r>
    </w:p>
    <w:p w14:paraId="047BD234">
      <w:pPr>
        <w:spacing w:line="300" w:lineRule="auto"/>
        <w:jc w:val="center"/>
        <w:rPr>
          <w:rFonts w:ascii="宋体" w:hAnsi="宋体"/>
          <w:b/>
          <w:color w:val="000000"/>
          <w:sz w:val="24"/>
        </w:rPr>
      </w:pPr>
    </w:p>
    <w:p w14:paraId="1D3BD10F">
      <w:pPr>
        <w:spacing w:line="300" w:lineRule="auto"/>
        <w:jc w:val="center"/>
        <w:rPr>
          <w:rFonts w:ascii="宋体" w:hAnsi="宋体"/>
          <w:b/>
          <w:color w:val="000000"/>
          <w:sz w:val="44"/>
          <w:szCs w:val="44"/>
          <w:lang w:val="zh-CN"/>
        </w:rPr>
      </w:pPr>
      <w:r>
        <w:rPr>
          <w:rFonts w:ascii="宋体" w:hAnsi="宋体"/>
          <w:b/>
          <w:color w:val="000000"/>
          <w:sz w:val="44"/>
          <w:szCs w:val="44"/>
          <w:lang w:val="zh-CN"/>
        </w:rPr>
        <w:t>目</w:t>
      </w:r>
      <w:r>
        <w:rPr>
          <w:rFonts w:hint="eastAsia" w:ascii="宋体" w:hAnsi="宋体"/>
          <w:b/>
          <w:color w:val="000000"/>
          <w:sz w:val="44"/>
          <w:szCs w:val="44"/>
          <w:lang w:val="zh-CN"/>
        </w:rPr>
        <w:t xml:space="preserve">  </w:t>
      </w:r>
      <w:r>
        <w:rPr>
          <w:rFonts w:ascii="宋体" w:hAnsi="宋体"/>
          <w:b/>
          <w:color w:val="000000"/>
          <w:sz w:val="44"/>
          <w:szCs w:val="44"/>
          <w:lang w:val="zh-CN"/>
        </w:rPr>
        <w:t>录</w:t>
      </w:r>
    </w:p>
    <w:p w14:paraId="1AD000D2">
      <w:pPr>
        <w:spacing w:line="300" w:lineRule="auto"/>
        <w:jc w:val="center"/>
        <w:rPr>
          <w:rFonts w:ascii="宋体" w:hAnsi="宋体"/>
          <w:b/>
          <w:color w:val="000000"/>
          <w:sz w:val="44"/>
          <w:szCs w:val="44"/>
          <w:lang w:val="zh-CN"/>
        </w:rPr>
      </w:pPr>
    </w:p>
    <w:p w14:paraId="38BC3FFF">
      <w:pPr>
        <w:pStyle w:val="35"/>
        <w:tabs>
          <w:tab w:val="right" w:pos="9232"/>
        </w:tabs>
        <w:rPr>
          <w:rFonts w:asciiTheme="minorHAnsi" w:hAnsiTheme="minorHAnsi" w:eastAsiaTheme="minorEastAsia" w:cstheme="minorBidi"/>
          <w:b w:val="0"/>
          <w:bCs w:val="0"/>
          <w:caps w:val="0"/>
          <w:sz w:val="21"/>
          <w:szCs w:val="22"/>
        </w:rPr>
      </w:pPr>
      <w:r>
        <w:rPr>
          <w:rFonts w:ascii="宋体" w:hAnsi="宋体" w:eastAsia="宋体"/>
          <w:b w:val="0"/>
          <w:bCs w:val="0"/>
          <w:caps w:val="0"/>
          <w:color w:val="000000"/>
        </w:rPr>
        <w:fldChar w:fldCharType="begin"/>
      </w:r>
      <w:r>
        <w:rPr>
          <w:rFonts w:ascii="宋体" w:hAnsi="宋体" w:eastAsia="宋体"/>
          <w:b w:val="0"/>
          <w:bCs w:val="0"/>
          <w:caps w:val="0"/>
          <w:color w:val="000000"/>
        </w:rPr>
        <w:instrText xml:space="preserve"> TOC \o "1-1" \h \z \u </w:instrText>
      </w:r>
      <w:r>
        <w:rPr>
          <w:rFonts w:ascii="宋体" w:hAnsi="宋体" w:eastAsia="宋体"/>
          <w:b w:val="0"/>
          <w:bCs w:val="0"/>
          <w:caps w:val="0"/>
          <w:color w:val="000000"/>
        </w:rPr>
        <w:fldChar w:fldCharType="separate"/>
      </w:r>
      <w:r>
        <w:fldChar w:fldCharType="begin"/>
      </w:r>
      <w:r>
        <w:instrText xml:space="preserve"> HYPERLINK \l "_Toc91236014" </w:instrText>
      </w:r>
      <w:r>
        <w:fldChar w:fldCharType="separate"/>
      </w:r>
      <w:r>
        <w:rPr>
          <w:rStyle w:val="61"/>
          <w:rFonts w:ascii="宋体" w:hAnsi="宋体"/>
          <w:lang w:val="zh-CN"/>
        </w:rPr>
        <w:t>第一部分 竞价邀请函</w:t>
      </w:r>
      <w:r>
        <w:tab/>
      </w:r>
      <w:r>
        <w:fldChar w:fldCharType="begin"/>
      </w:r>
      <w:r>
        <w:instrText xml:space="preserve"> PAGEREF _Toc91236014 \h </w:instrText>
      </w:r>
      <w:r>
        <w:fldChar w:fldCharType="separate"/>
      </w:r>
      <w:r>
        <w:t>3</w:t>
      </w:r>
      <w:r>
        <w:fldChar w:fldCharType="end"/>
      </w:r>
      <w:r>
        <w:fldChar w:fldCharType="end"/>
      </w:r>
    </w:p>
    <w:p w14:paraId="28EFECF5">
      <w:pPr>
        <w:pStyle w:val="35"/>
        <w:tabs>
          <w:tab w:val="right" w:pos="9232"/>
        </w:tabs>
        <w:rPr>
          <w:rFonts w:asciiTheme="minorHAnsi" w:hAnsiTheme="minorHAnsi" w:eastAsiaTheme="minorEastAsia" w:cstheme="minorBidi"/>
          <w:b w:val="0"/>
          <w:bCs w:val="0"/>
          <w:caps w:val="0"/>
          <w:sz w:val="21"/>
          <w:szCs w:val="22"/>
        </w:rPr>
      </w:pPr>
      <w:r>
        <w:fldChar w:fldCharType="begin"/>
      </w:r>
      <w:r>
        <w:instrText xml:space="preserve"> HYPERLINK \l "_Toc91236015" </w:instrText>
      </w:r>
      <w:r>
        <w:fldChar w:fldCharType="separate"/>
      </w:r>
      <w:r>
        <w:rPr>
          <w:rStyle w:val="61"/>
          <w:rFonts w:ascii="宋体" w:hAnsi="宋体"/>
          <w:lang w:val="zh-CN"/>
        </w:rPr>
        <w:t>第二部分 采购项目内容</w:t>
      </w:r>
      <w:r>
        <w:tab/>
      </w:r>
      <w:r>
        <w:fldChar w:fldCharType="begin"/>
      </w:r>
      <w:r>
        <w:instrText xml:space="preserve"> PAGEREF _Toc91236015 \h </w:instrText>
      </w:r>
      <w:r>
        <w:fldChar w:fldCharType="separate"/>
      </w:r>
      <w:r>
        <w:t>11</w:t>
      </w:r>
      <w:r>
        <w:fldChar w:fldCharType="end"/>
      </w:r>
      <w:r>
        <w:fldChar w:fldCharType="end"/>
      </w:r>
    </w:p>
    <w:p w14:paraId="17624C3F">
      <w:pPr>
        <w:pStyle w:val="35"/>
        <w:tabs>
          <w:tab w:val="right" w:pos="9232"/>
        </w:tabs>
        <w:rPr>
          <w:rFonts w:asciiTheme="minorHAnsi" w:hAnsiTheme="minorHAnsi" w:eastAsiaTheme="minorEastAsia" w:cstheme="minorBidi"/>
          <w:b w:val="0"/>
          <w:bCs w:val="0"/>
          <w:caps w:val="0"/>
          <w:sz w:val="21"/>
          <w:szCs w:val="22"/>
        </w:rPr>
      </w:pPr>
      <w:r>
        <w:fldChar w:fldCharType="begin"/>
      </w:r>
      <w:r>
        <w:instrText xml:space="preserve"> HYPERLINK \l "_Toc91236016" </w:instrText>
      </w:r>
      <w:r>
        <w:fldChar w:fldCharType="separate"/>
      </w:r>
      <w:r>
        <w:rPr>
          <w:rStyle w:val="61"/>
          <w:rFonts w:ascii="宋体" w:hAnsi="宋体"/>
          <w:lang w:val="zh-CN"/>
        </w:rPr>
        <w:t>第三部分 合同格式</w:t>
      </w:r>
      <w:r>
        <w:tab/>
      </w:r>
      <w:r>
        <w:fldChar w:fldCharType="begin"/>
      </w:r>
      <w:r>
        <w:instrText xml:space="preserve"> PAGEREF _Toc91236016 \h </w:instrText>
      </w:r>
      <w:r>
        <w:fldChar w:fldCharType="separate"/>
      </w:r>
      <w:r>
        <w:t>13</w:t>
      </w:r>
      <w:r>
        <w:fldChar w:fldCharType="end"/>
      </w:r>
      <w:r>
        <w:fldChar w:fldCharType="end"/>
      </w:r>
    </w:p>
    <w:p w14:paraId="3113CD2D">
      <w:pPr>
        <w:pStyle w:val="35"/>
        <w:tabs>
          <w:tab w:val="right" w:pos="9232"/>
        </w:tabs>
        <w:rPr>
          <w:rFonts w:asciiTheme="minorHAnsi" w:hAnsiTheme="minorHAnsi" w:eastAsiaTheme="minorEastAsia" w:cstheme="minorBidi"/>
          <w:b w:val="0"/>
          <w:bCs w:val="0"/>
          <w:caps w:val="0"/>
          <w:sz w:val="21"/>
          <w:szCs w:val="22"/>
        </w:rPr>
      </w:pPr>
      <w:r>
        <w:fldChar w:fldCharType="begin"/>
      </w:r>
      <w:r>
        <w:instrText xml:space="preserve"> HYPERLINK \l "_Toc91236017" </w:instrText>
      </w:r>
      <w:r>
        <w:fldChar w:fldCharType="separate"/>
      </w:r>
      <w:r>
        <w:rPr>
          <w:rStyle w:val="61"/>
          <w:rFonts w:ascii="宋体" w:hAnsi="宋体"/>
          <w:lang w:val="zh-CN"/>
        </w:rPr>
        <w:t>第四部分 报价清单</w:t>
      </w:r>
      <w:r>
        <w:tab/>
      </w:r>
      <w:r>
        <w:fldChar w:fldCharType="begin"/>
      </w:r>
      <w:r>
        <w:instrText xml:space="preserve"> PAGEREF _Toc91236017 \h </w:instrText>
      </w:r>
      <w:r>
        <w:fldChar w:fldCharType="separate"/>
      </w:r>
      <w:r>
        <w:t>18</w:t>
      </w:r>
      <w:r>
        <w:fldChar w:fldCharType="end"/>
      </w:r>
      <w:r>
        <w:fldChar w:fldCharType="end"/>
      </w:r>
    </w:p>
    <w:p w14:paraId="5FB30B57">
      <w:pPr>
        <w:rPr>
          <w:rFonts w:ascii="宋体" w:hAnsi="宋体"/>
          <w:color w:val="000000"/>
        </w:rPr>
      </w:pPr>
      <w:r>
        <w:rPr>
          <w:rFonts w:ascii="宋体" w:hAnsi="宋体"/>
          <w:b/>
          <w:bCs/>
          <w:caps/>
          <w:color w:val="000000"/>
          <w:sz w:val="24"/>
        </w:rPr>
        <w:fldChar w:fldCharType="end"/>
      </w:r>
    </w:p>
    <w:p w14:paraId="72C6FA32">
      <w:pPr>
        <w:rPr>
          <w:rFonts w:ascii="宋体" w:hAnsi="宋体"/>
          <w:color w:val="000000"/>
          <w:sz w:val="28"/>
          <w:szCs w:val="28"/>
        </w:rPr>
        <w:sectPr>
          <w:headerReference r:id="rId8" w:type="default"/>
          <w:pgSz w:w="11907" w:h="16840"/>
          <w:pgMar w:top="1361" w:right="1304" w:bottom="1361" w:left="1361" w:header="794" w:footer="794" w:gutter="0"/>
          <w:cols w:space="720" w:num="1"/>
          <w:docGrid w:linePitch="286" w:charSpace="0"/>
        </w:sectPr>
      </w:pPr>
    </w:p>
    <w:p w14:paraId="56793817">
      <w:pPr>
        <w:spacing w:before="240" w:beforeLines="100" w:after="120" w:afterLines="50"/>
        <w:jc w:val="center"/>
        <w:outlineLvl w:val="0"/>
        <w:rPr>
          <w:rFonts w:ascii="宋体" w:hAnsi="宋体"/>
          <w:b/>
          <w:color w:val="000000"/>
          <w:sz w:val="36"/>
          <w:szCs w:val="36"/>
          <w:lang w:val="zh-CN"/>
        </w:rPr>
      </w:pPr>
      <w:r>
        <w:rPr>
          <w:rFonts w:hint="eastAsia" w:ascii="宋体" w:hAnsi="宋体"/>
          <w:b/>
          <w:color w:val="000000"/>
          <w:sz w:val="36"/>
          <w:szCs w:val="36"/>
          <w:lang w:val="zh-CN"/>
        </w:rPr>
        <w:t xml:space="preserve">  </w:t>
      </w:r>
      <w:bookmarkStart w:id="0" w:name="_Toc91236014"/>
      <w:r>
        <w:rPr>
          <w:rFonts w:hint="eastAsia" w:ascii="宋体" w:hAnsi="宋体"/>
          <w:b/>
          <w:color w:val="000000"/>
          <w:sz w:val="36"/>
          <w:szCs w:val="36"/>
          <w:lang w:val="zh-CN"/>
        </w:rPr>
        <w:t>第一部分 竞价邀请函</w:t>
      </w:r>
      <w:bookmarkEnd w:id="0"/>
    </w:p>
    <w:p w14:paraId="0369A1CD">
      <w:pPr>
        <w:spacing w:before="120" w:line="360" w:lineRule="auto"/>
        <w:ind w:firstLine="480" w:firstLineChars="200"/>
        <w:rPr>
          <w:rFonts w:ascii="宋体" w:hAnsi="宋体"/>
          <w:color w:val="000000"/>
          <w:sz w:val="24"/>
        </w:rPr>
      </w:pPr>
      <w:r>
        <w:rPr>
          <w:rFonts w:hint="eastAsia" w:ascii="宋体" w:hAnsi="宋体"/>
          <w:color w:val="000000"/>
          <w:sz w:val="24"/>
          <w:u w:val="single"/>
        </w:rPr>
        <w:t>公诚管理咨询有限公司</w:t>
      </w:r>
      <w:r>
        <w:rPr>
          <w:rFonts w:hint="eastAsia" w:ascii="宋体" w:hAnsi="宋体"/>
          <w:color w:val="000000"/>
          <w:sz w:val="24"/>
        </w:rPr>
        <w:t>受</w:t>
      </w:r>
      <w:r>
        <w:rPr>
          <w:rFonts w:hint="eastAsia" w:ascii="宋体" w:hAnsi="宋体"/>
          <w:sz w:val="24"/>
          <w:u w:val="single"/>
        </w:rPr>
        <w:t>广东省广播电视网络股份有限公司汕尾分公司</w:t>
      </w:r>
      <w:r>
        <w:rPr>
          <w:rFonts w:hint="eastAsia" w:ascii="宋体" w:hAnsi="宋体"/>
          <w:color w:val="000000"/>
          <w:sz w:val="24"/>
        </w:rPr>
        <w:t>的委托，对</w:t>
      </w:r>
      <w:r>
        <w:rPr>
          <w:rFonts w:hint="eastAsia" w:ascii="宋体" w:hAnsi="宋体"/>
          <w:sz w:val="24"/>
          <w:u w:val="single"/>
        </w:rPr>
        <w:t>陆丰分公司数字电视平台统一项目（软件）</w:t>
      </w:r>
      <w:r>
        <w:rPr>
          <w:rFonts w:hint="eastAsia" w:ascii="宋体" w:hAnsi="宋体"/>
          <w:color w:val="000000"/>
          <w:sz w:val="24"/>
        </w:rPr>
        <w:t>进行竞价采购。欢迎符合资格条件的供应商参加。该项目相关情况如下：</w:t>
      </w:r>
    </w:p>
    <w:p w14:paraId="0670E7FA">
      <w:pPr>
        <w:spacing w:before="120" w:beforeLines="50" w:line="360" w:lineRule="auto"/>
        <w:rPr>
          <w:rFonts w:ascii="宋体" w:hAnsi="宋体"/>
          <w:kern w:val="0"/>
          <w:sz w:val="24"/>
        </w:rPr>
      </w:pPr>
      <w:r>
        <w:rPr>
          <w:rFonts w:hint="eastAsia" w:ascii="宋体" w:hAnsi="宋体"/>
          <w:b/>
          <w:color w:val="000000"/>
          <w:sz w:val="24"/>
        </w:rPr>
        <w:t>一、项目概况：</w:t>
      </w:r>
    </w:p>
    <w:p w14:paraId="348025A2">
      <w:pPr>
        <w:widowControl/>
        <w:numPr>
          <w:ilvl w:val="0"/>
          <w:numId w:val="1"/>
        </w:numPr>
        <w:adjustRightInd w:val="0"/>
        <w:snapToGrid w:val="0"/>
        <w:spacing w:line="360" w:lineRule="auto"/>
        <w:ind w:left="0" w:firstLine="480" w:firstLineChars="200"/>
        <w:jc w:val="left"/>
        <w:rPr>
          <w:rFonts w:ascii="宋体" w:hAnsi="宋体"/>
          <w:kern w:val="0"/>
          <w:sz w:val="24"/>
        </w:rPr>
      </w:pPr>
      <w:r>
        <w:rPr>
          <w:rFonts w:hint="eastAsia" w:ascii="宋体" w:hAnsi="宋体"/>
          <w:kern w:val="0"/>
          <w:sz w:val="24"/>
        </w:rPr>
        <w:t>采购项目编号：</w:t>
      </w:r>
      <w:bookmarkStart w:id="1" w:name="_Hlk199255636"/>
      <w:r>
        <w:rPr>
          <w:rFonts w:ascii="宋体" w:hAnsi="宋体"/>
          <w:kern w:val="0"/>
          <w:sz w:val="24"/>
        </w:rPr>
        <w:t>04-06-04H-2025-D-E11740</w:t>
      </w:r>
      <w:bookmarkEnd w:id="1"/>
    </w:p>
    <w:p w14:paraId="33307A17">
      <w:pPr>
        <w:widowControl/>
        <w:numPr>
          <w:ilvl w:val="0"/>
          <w:numId w:val="1"/>
        </w:numPr>
        <w:adjustRightInd w:val="0"/>
        <w:snapToGrid w:val="0"/>
        <w:spacing w:line="360" w:lineRule="auto"/>
        <w:ind w:left="0" w:firstLine="480" w:firstLineChars="200"/>
        <w:jc w:val="left"/>
        <w:rPr>
          <w:rFonts w:ascii="宋体" w:hAnsi="宋体" w:cs="宋体"/>
          <w:color w:val="000000"/>
          <w:sz w:val="24"/>
        </w:rPr>
      </w:pPr>
      <w:r>
        <w:rPr>
          <w:rFonts w:hint="eastAsia" w:ascii="宋体" w:hAnsi="宋体"/>
          <w:kern w:val="0"/>
          <w:sz w:val="24"/>
        </w:rPr>
        <w:t>项目</w:t>
      </w:r>
      <w:r>
        <w:rPr>
          <w:rFonts w:hint="eastAsia" w:ascii="宋体" w:hAnsi="宋体" w:cs="宋体"/>
          <w:color w:val="000000"/>
          <w:sz w:val="24"/>
        </w:rPr>
        <w:t>名称：</w:t>
      </w:r>
      <w:r>
        <w:rPr>
          <w:rFonts w:hint="eastAsia" w:ascii="宋体" w:hAnsi="宋体"/>
          <w:sz w:val="24"/>
        </w:rPr>
        <w:t>陆丰分公司数字电视平台统一项目（软件）</w:t>
      </w:r>
      <w:r>
        <w:rPr>
          <w:rFonts w:hint="eastAsia" w:ascii="宋体" w:hAnsi="宋体" w:cs="宋体"/>
          <w:color w:val="000000"/>
          <w:sz w:val="24"/>
        </w:rPr>
        <w:t>。</w:t>
      </w:r>
    </w:p>
    <w:p w14:paraId="65C88DB5">
      <w:pPr>
        <w:widowControl/>
        <w:numPr>
          <w:ilvl w:val="0"/>
          <w:numId w:val="1"/>
        </w:numPr>
        <w:adjustRightInd w:val="0"/>
        <w:snapToGrid w:val="0"/>
        <w:spacing w:line="360" w:lineRule="auto"/>
        <w:ind w:left="0" w:firstLine="480" w:firstLineChars="200"/>
        <w:jc w:val="left"/>
        <w:rPr>
          <w:rFonts w:ascii="宋体" w:hAnsi="宋体"/>
          <w:sz w:val="24"/>
        </w:rPr>
      </w:pPr>
      <w:r>
        <w:rPr>
          <w:rFonts w:hint="eastAsia" w:ascii="宋体" w:hAnsi="宋体"/>
          <w:sz w:val="24"/>
        </w:rPr>
        <w:t>项目最高限价：人民币19.8万元。</w:t>
      </w:r>
    </w:p>
    <w:p w14:paraId="59F15249">
      <w:pPr>
        <w:widowControl/>
        <w:numPr>
          <w:ilvl w:val="0"/>
          <w:numId w:val="1"/>
        </w:numPr>
        <w:adjustRightInd w:val="0"/>
        <w:snapToGrid w:val="0"/>
        <w:spacing w:line="360" w:lineRule="auto"/>
        <w:ind w:left="0" w:firstLine="480" w:firstLineChars="200"/>
        <w:jc w:val="left"/>
        <w:rPr>
          <w:rFonts w:ascii="宋体" w:hAnsi="宋体"/>
          <w:sz w:val="24"/>
        </w:rPr>
      </w:pPr>
      <w:r>
        <w:rPr>
          <w:rFonts w:hint="eastAsia" w:ascii="宋体" w:hAnsi="宋体"/>
          <w:sz w:val="24"/>
        </w:rPr>
        <w:t>服务期：自合同签订之日起30日历天内（遇广电安全播出期顺延）</w:t>
      </w:r>
      <w:r>
        <w:rPr>
          <w:rFonts w:hint="eastAsia" w:cs="宋体" w:asciiTheme="minorEastAsia" w:hAnsiTheme="minorEastAsia" w:eastAsiaTheme="minorEastAsia"/>
          <w:kern w:val="0"/>
          <w:sz w:val="24"/>
        </w:rPr>
        <w:t>。</w:t>
      </w:r>
    </w:p>
    <w:p w14:paraId="19EEAC30">
      <w:pPr>
        <w:widowControl/>
        <w:numPr>
          <w:ilvl w:val="0"/>
          <w:numId w:val="1"/>
        </w:numPr>
        <w:adjustRightInd w:val="0"/>
        <w:snapToGrid w:val="0"/>
        <w:spacing w:line="360" w:lineRule="auto"/>
        <w:ind w:left="0" w:firstLine="480" w:firstLineChars="200"/>
        <w:jc w:val="left"/>
        <w:rPr>
          <w:rFonts w:ascii="宋体" w:hAnsi="宋体"/>
          <w:sz w:val="24"/>
        </w:rPr>
      </w:pPr>
      <w:r>
        <w:rPr>
          <w:rFonts w:ascii="宋体" w:hAnsi="宋体"/>
          <w:sz w:val="24"/>
        </w:rPr>
        <w:t>项目</w:t>
      </w:r>
      <w:r>
        <w:rPr>
          <w:rFonts w:hint="eastAsia" w:ascii="宋体" w:hAnsi="宋体"/>
          <w:sz w:val="24"/>
        </w:rPr>
        <w:t>需求</w:t>
      </w:r>
      <w:r>
        <w:rPr>
          <w:rFonts w:ascii="宋体" w:hAnsi="宋体"/>
          <w:sz w:val="24"/>
        </w:rPr>
        <w:t>：</w:t>
      </w:r>
      <w:r>
        <w:rPr>
          <w:rFonts w:hint="eastAsia" w:ascii="宋体" w:hAnsi="宋体"/>
          <w:sz w:val="24"/>
        </w:rPr>
        <w:t>详见第二部分 采购项目内容。</w:t>
      </w:r>
    </w:p>
    <w:p w14:paraId="745075F7">
      <w:pPr>
        <w:pStyle w:val="93"/>
        <w:numPr>
          <w:ilvl w:val="0"/>
          <w:numId w:val="2"/>
        </w:numPr>
        <w:ind w:firstLineChars="0"/>
        <w:rPr>
          <w:rFonts w:ascii="宋体" w:hAnsi="宋体"/>
          <w:b/>
          <w:bCs/>
        </w:rPr>
      </w:pPr>
      <w:r>
        <w:rPr>
          <w:rFonts w:hint="eastAsia" w:ascii="宋体" w:hAnsi="宋体"/>
          <w:b/>
          <w:bCs/>
        </w:rPr>
        <w:t>采购需求清单（详见第二部分 采购项目内容）：</w:t>
      </w:r>
    </w:p>
    <w:tbl>
      <w:tblPr>
        <w:tblStyle w:val="54"/>
        <w:tblW w:w="91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60"/>
        <w:gridCol w:w="1134"/>
        <w:gridCol w:w="1996"/>
        <w:gridCol w:w="3446"/>
      </w:tblGrid>
      <w:tr w14:paraId="24F13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65" w:type="dxa"/>
            <w:tcBorders>
              <w:top w:val="single" w:color="auto" w:sz="12" w:space="0"/>
              <w:bottom w:val="double" w:color="auto" w:sz="4" w:space="0"/>
            </w:tcBorders>
            <w:shd w:val="clear" w:color="auto" w:fill="EEECE1"/>
            <w:vAlign w:val="center"/>
          </w:tcPr>
          <w:p w14:paraId="4DCA7E57">
            <w:pPr>
              <w:autoSpaceDE w:val="0"/>
              <w:autoSpaceDN w:val="0"/>
              <w:adjustRightInd w:val="0"/>
              <w:rPr>
                <w:rFonts w:ascii="宋体" w:hAnsi="宋体"/>
                <w:b/>
                <w:kern w:val="0"/>
                <w:sz w:val="24"/>
              </w:rPr>
            </w:pPr>
            <w:bookmarkStart w:id="2" w:name="_Hlk460516737"/>
            <w:bookmarkStart w:id="3" w:name="OLE_LINK30" w:colFirst="2" w:colLast="2"/>
            <w:bookmarkStart w:id="4" w:name="OLE_LINK28" w:colFirst="2" w:colLast="2"/>
            <w:bookmarkStart w:id="5" w:name="OLE_LINK29" w:colFirst="2" w:colLast="2"/>
            <w:bookmarkStart w:id="6" w:name="OLE_LINK27" w:colFirst="2" w:colLast="2"/>
            <w:r>
              <w:rPr>
                <w:rFonts w:hint="eastAsia" w:ascii="宋体" w:hAnsi="宋体"/>
                <w:b/>
                <w:kern w:val="0"/>
                <w:sz w:val="24"/>
              </w:rPr>
              <w:t>序号</w:t>
            </w:r>
          </w:p>
        </w:tc>
        <w:tc>
          <w:tcPr>
            <w:tcW w:w="1560" w:type="dxa"/>
            <w:tcBorders>
              <w:top w:val="single" w:color="auto" w:sz="12" w:space="0"/>
              <w:bottom w:val="double" w:color="auto" w:sz="4" w:space="0"/>
            </w:tcBorders>
            <w:shd w:val="clear" w:color="auto" w:fill="EEECE1"/>
            <w:vAlign w:val="center"/>
          </w:tcPr>
          <w:p w14:paraId="6C5DA1F3">
            <w:pPr>
              <w:autoSpaceDE w:val="0"/>
              <w:autoSpaceDN w:val="0"/>
              <w:adjustRightInd w:val="0"/>
              <w:jc w:val="center"/>
              <w:rPr>
                <w:rFonts w:ascii="宋体" w:hAnsi="宋体"/>
                <w:b/>
                <w:kern w:val="0"/>
                <w:sz w:val="24"/>
              </w:rPr>
            </w:pPr>
            <w:r>
              <w:rPr>
                <w:rFonts w:hint="eastAsia" w:ascii="宋体" w:hAnsi="宋体"/>
                <w:b/>
                <w:kern w:val="0"/>
                <w:sz w:val="24"/>
              </w:rPr>
              <w:t>采购内容</w:t>
            </w:r>
          </w:p>
        </w:tc>
        <w:tc>
          <w:tcPr>
            <w:tcW w:w="1134" w:type="dxa"/>
            <w:tcBorders>
              <w:top w:val="single" w:color="auto" w:sz="12" w:space="0"/>
              <w:bottom w:val="double" w:color="auto" w:sz="4" w:space="0"/>
            </w:tcBorders>
            <w:shd w:val="clear" w:color="auto" w:fill="EEECE1"/>
            <w:vAlign w:val="center"/>
          </w:tcPr>
          <w:p w14:paraId="5F1AD904">
            <w:pPr>
              <w:autoSpaceDE w:val="0"/>
              <w:autoSpaceDN w:val="0"/>
              <w:adjustRightInd w:val="0"/>
              <w:jc w:val="center"/>
              <w:rPr>
                <w:rFonts w:ascii="宋体" w:hAnsi="宋体"/>
                <w:b/>
                <w:kern w:val="0"/>
                <w:sz w:val="24"/>
              </w:rPr>
            </w:pPr>
            <w:r>
              <w:rPr>
                <w:rFonts w:hint="eastAsia" w:ascii="宋体" w:hAnsi="宋体"/>
                <w:b/>
                <w:kern w:val="0"/>
                <w:sz w:val="24"/>
              </w:rPr>
              <w:t>数量</w:t>
            </w:r>
          </w:p>
        </w:tc>
        <w:tc>
          <w:tcPr>
            <w:tcW w:w="1996" w:type="dxa"/>
            <w:tcBorders>
              <w:top w:val="single" w:color="auto" w:sz="12" w:space="0"/>
              <w:bottom w:val="double" w:color="auto" w:sz="4" w:space="0"/>
            </w:tcBorders>
            <w:shd w:val="clear" w:color="auto" w:fill="EEECE1"/>
            <w:vAlign w:val="center"/>
          </w:tcPr>
          <w:p w14:paraId="24046478">
            <w:pPr>
              <w:autoSpaceDE w:val="0"/>
              <w:autoSpaceDN w:val="0"/>
              <w:adjustRightInd w:val="0"/>
              <w:spacing w:line="276" w:lineRule="auto"/>
              <w:jc w:val="center"/>
              <w:rPr>
                <w:rFonts w:ascii="宋体" w:hAnsi="宋体"/>
                <w:b/>
                <w:kern w:val="0"/>
                <w:sz w:val="24"/>
              </w:rPr>
            </w:pPr>
            <w:r>
              <w:rPr>
                <w:rFonts w:hint="eastAsia" w:ascii="宋体" w:hAnsi="宋体"/>
                <w:b/>
                <w:kern w:val="0"/>
                <w:sz w:val="24"/>
              </w:rPr>
              <w:t>最高限价</w:t>
            </w:r>
          </w:p>
        </w:tc>
        <w:tc>
          <w:tcPr>
            <w:tcW w:w="3446" w:type="dxa"/>
            <w:tcBorders>
              <w:top w:val="single" w:color="auto" w:sz="12" w:space="0"/>
              <w:bottom w:val="double" w:color="auto" w:sz="4" w:space="0"/>
            </w:tcBorders>
            <w:shd w:val="clear" w:color="auto" w:fill="EEECE1"/>
            <w:vAlign w:val="center"/>
          </w:tcPr>
          <w:p w14:paraId="578F064A">
            <w:pPr>
              <w:autoSpaceDE w:val="0"/>
              <w:autoSpaceDN w:val="0"/>
              <w:adjustRightInd w:val="0"/>
              <w:jc w:val="center"/>
              <w:rPr>
                <w:rFonts w:ascii="宋体" w:hAnsi="宋体"/>
                <w:b/>
                <w:kern w:val="0"/>
                <w:sz w:val="24"/>
              </w:rPr>
            </w:pPr>
            <w:r>
              <w:rPr>
                <w:rFonts w:hint="eastAsia" w:ascii="宋体" w:hAnsi="宋体"/>
                <w:b/>
                <w:kern w:val="0"/>
                <w:sz w:val="24"/>
              </w:rPr>
              <w:t>服务期</w:t>
            </w:r>
          </w:p>
        </w:tc>
      </w:tr>
      <w:tr w14:paraId="31400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965" w:type="dxa"/>
            <w:tcBorders>
              <w:top w:val="single" w:color="auto" w:sz="4" w:space="0"/>
              <w:bottom w:val="single" w:color="auto" w:sz="4" w:space="0"/>
            </w:tcBorders>
            <w:vAlign w:val="center"/>
          </w:tcPr>
          <w:p w14:paraId="54A4094E">
            <w:pPr>
              <w:autoSpaceDE w:val="0"/>
              <w:autoSpaceDN w:val="0"/>
              <w:adjustRightInd w:val="0"/>
              <w:jc w:val="center"/>
              <w:rPr>
                <w:rFonts w:ascii="宋体" w:hAnsi="宋体"/>
                <w:kern w:val="0"/>
                <w:sz w:val="24"/>
              </w:rPr>
            </w:pPr>
            <w:r>
              <w:rPr>
                <w:rFonts w:hint="eastAsia" w:ascii="宋体" w:hAnsi="宋体"/>
                <w:kern w:val="0"/>
                <w:sz w:val="24"/>
              </w:rPr>
              <w:t>1</w:t>
            </w:r>
          </w:p>
        </w:tc>
        <w:tc>
          <w:tcPr>
            <w:tcW w:w="1560" w:type="dxa"/>
            <w:tcBorders>
              <w:top w:val="single" w:color="auto" w:sz="4" w:space="0"/>
              <w:bottom w:val="single" w:color="auto" w:sz="4" w:space="0"/>
            </w:tcBorders>
            <w:vAlign w:val="center"/>
          </w:tcPr>
          <w:p w14:paraId="3405D3AC">
            <w:pPr>
              <w:autoSpaceDE w:val="0"/>
              <w:autoSpaceDN w:val="0"/>
              <w:adjustRightInd w:val="0"/>
              <w:jc w:val="center"/>
              <w:rPr>
                <w:kern w:val="0"/>
                <w:sz w:val="24"/>
              </w:rPr>
            </w:pPr>
            <w:r>
              <w:rPr>
                <w:rFonts w:hint="eastAsia" w:ascii="宋体" w:hAnsi="宋体" w:cs="宋体"/>
                <w:bCs/>
                <w:sz w:val="24"/>
              </w:rPr>
              <w:t>EPG系统软件</w:t>
            </w:r>
          </w:p>
        </w:tc>
        <w:tc>
          <w:tcPr>
            <w:tcW w:w="1134" w:type="dxa"/>
            <w:tcBorders>
              <w:top w:val="single" w:color="auto" w:sz="4" w:space="0"/>
              <w:bottom w:val="single" w:color="auto" w:sz="4" w:space="0"/>
            </w:tcBorders>
            <w:vAlign w:val="center"/>
          </w:tcPr>
          <w:p w14:paraId="5E963B42">
            <w:pPr>
              <w:autoSpaceDE w:val="0"/>
              <w:autoSpaceDN w:val="0"/>
              <w:adjustRightInd w:val="0"/>
              <w:jc w:val="center"/>
              <w:rPr>
                <w:rFonts w:ascii="宋体" w:hAnsi="宋体"/>
                <w:bCs/>
                <w:kern w:val="0"/>
                <w:sz w:val="24"/>
              </w:rPr>
            </w:pPr>
            <w:r>
              <w:rPr>
                <w:rFonts w:hint="eastAsia" w:ascii="宋体" w:hAnsi="宋体" w:cs="宋体"/>
                <w:sz w:val="24"/>
              </w:rPr>
              <w:t>1家</w:t>
            </w:r>
          </w:p>
        </w:tc>
        <w:tc>
          <w:tcPr>
            <w:tcW w:w="1996" w:type="dxa"/>
            <w:tcBorders>
              <w:top w:val="single" w:color="auto" w:sz="4" w:space="0"/>
              <w:bottom w:val="single" w:color="auto" w:sz="4" w:space="0"/>
            </w:tcBorders>
            <w:vAlign w:val="center"/>
          </w:tcPr>
          <w:p w14:paraId="446C41A5">
            <w:pPr>
              <w:autoSpaceDE w:val="0"/>
              <w:autoSpaceDN w:val="0"/>
              <w:adjustRightInd w:val="0"/>
              <w:spacing w:line="276" w:lineRule="auto"/>
              <w:jc w:val="center"/>
              <w:rPr>
                <w:rFonts w:ascii="宋体" w:hAnsi="宋体"/>
                <w:kern w:val="0"/>
                <w:sz w:val="24"/>
              </w:rPr>
            </w:pPr>
            <w:bookmarkStart w:id="7" w:name="_Hlk199166591"/>
            <w:r>
              <w:rPr>
                <w:rFonts w:hint="eastAsia" w:ascii="宋体" w:hAnsi="宋体" w:cs="宋体"/>
                <w:sz w:val="24"/>
              </w:rPr>
              <w:t>人民币</w:t>
            </w:r>
            <w:r>
              <w:rPr>
                <w:rFonts w:hint="eastAsia" w:ascii="宋体" w:hAnsi="宋体" w:cs="宋体"/>
                <w:sz w:val="24"/>
                <w:u w:val="single"/>
              </w:rPr>
              <w:t>19.8</w:t>
            </w:r>
            <w:r>
              <w:rPr>
                <w:rFonts w:hint="eastAsia" w:ascii="宋体" w:hAnsi="宋体" w:cs="宋体"/>
                <w:sz w:val="24"/>
              </w:rPr>
              <w:t>万元</w:t>
            </w:r>
            <w:bookmarkEnd w:id="7"/>
          </w:p>
        </w:tc>
        <w:tc>
          <w:tcPr>
            <w:tcW w:w="3446" w:type="dxa"/>
            <w:tcBorders>
              <w:top w:val="single" w:color="auto" w:sz="4" w:space="0"/>
              <w:bottom w:val="single" w:color="auto" w:sz="4" w:space="0"/>
            </w:tcBorders>
            <w:vAlign w:val="center"/>
          </w:tcPr>
          <w:p w14:paraId="081F3BA6">
            <w:pPr>
              <w:keepNext/>
              <w:adjustRightInd w:val="0"/>
              <w:jc w:val="left"/>
              <w:textAlignment w:val="center"/>
              <w:rPr>
                <w:rFonts w:ascii="宋体" w:hAnsi="宋体"/>
                <w:sz w:val="24"/>
              </w:rPr>
            </w:pPr>
            <w:bookmarkStart w:id="8" w:name="_Hlk199166603"/>
            <w:r>
              <w:rPr>
                <w:rFonts w:hint="eastAsia" w:ascii="宋体" w:hAnsi="宋体" w:cs="宋体"/>
                <w:sz w:val="24"/>
              </w:rPr>
              <w:t>自合同签订之日起30日历天内（遇广电安全播出期顺延）</w:t>
            </w:r>
            <w:bookmarkEnd w:id="8"/>
          </w:p>
        </w:tc>
      </w:tr>
      <w:bookmarkEnd w:id="2"/>
      <w:bookmarkEnd w:id="3"/>
      <w:bookmarkEnd w:id="4"/>
      <w:bookmarkEnd w:id="5"/>
      <w:bookmarkEnd w:id="6"/>
    </w:tbl>
    <w:p w14:paraId="4FF6DCE8">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备注:</w:t>
      </w:r>
    </w:p>
    <w:p w14:paraId="4C85967C">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（1）项目报价方式：通过报单价限价的统一下浮率方式遴选供应商。</w:t>
      </w:r>
    </w:p>
    <w:p w14:paraId="3BEAEF0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（2）采用综合单价包干结算，综合单价已包含了</w:t>
      </w:r>
      <w:bookmarkStart w:id="9" w:name="_Hlk176964825"/>
      <w:r>
        <w:rPr>
          <w:rFonts w:hint="eastAsia" w:asciiTheme="minorEastAsia" w:hAnsiTheme="minorEastAsia" w:eastAsiaTheme="minorEastAsia"/>
          <w:bCs/>
          <w:sz w:val="24"/>
        </w:rPr>
        <w:t>原材料费、制作加工费、包装费、运输费、保险费、装卸费、税费等</w:t>
      </w:r>
      <w:bookmarkEnd w:id="9"/>
      <w:r>
        <w:rPr>
          <w:rFonts w:hint="eastAsia" w:asciiTheme="minorEastAsia" w:hAnsiTheme="minorEastAsia" w:eastAsiaTheme="minorEastAsia"/>
          <w:bCs/>
          <w:sz w:val="24"/>
        </w:rPr>
        <w:t>以及合同实施过程中不可预见费用等项目相关的一切费用。报价应按采购内容清单和有关要求进行报价。</w:t>
      </w:r>
    </w:p>
    <w:p w14:paraId="3EE1EE6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（3）成交后的含税单价为一次性不变价，在合同有效期内不作调整。</w:t>
      </w:r>
    </w:p>
    <w:p w14:paraId="7C8320EE">
      <w:pPr>
        <w:widowControl/>
        <w:spacing w:line="360" w:lineRule="auto"/>
        <w:jc w:val="left"/>
        <w:rPr>
          <w:rFonts w:ascii="宋体" w:hAnsi="宋体"/>
          <w:b/>
          <w:color w:val="000000"/>
          <w:sz w:val="24"/>
        </w:rPr>
      </w:pPr>
      <w:r>
        <w:rPr>
          <w:rFonts w:hint="eastAsia" w:ascii="宋体" w:hAnsi="宋体"/>
          <w:b/>
          <w:color w:val="000000"/>
          <w:sz w:val="24"/>
        </w:rPr>
        <w:t>三、供应商资格要求：</w:t>
      </w:r>
    </w:p>
    <w:p w14:paraId="4D9349EA">
      <w:pPr>
        <w:spacing w:line="360" w:lineRule="auto"/>
        <w:ind w:firstLine="480" w:firstLineChars="200"/>
        <w:rPr>
          <w:rFonts w:asciiTheme="minorEastAsia" w:hAnsiTheme="minorEastAsia" w:eastAsiaTheme="minorEastAsia"/>
          <w:sz w:val="24"/>
          <w:lang w:val="zh-CN"/>
        </w:rPr>
      </w:pPr>
      <w:r>
        <w:rPr>
          <w:rFonts w:hint="eastAsia" w:ascii="宋体" w:hAnsi="宋体" w:cs="宋体"/>
          <w:color w:val="000000"/>
          <w:sz w:val="24"/>
        </w:rPr>
        <w:t>1.</w:t>
      </w:r>
      <w:r>
        <w:rPr>
          <w:rFonts w:ascii="宋体" w:hAnsi="宋体" w:cs="宋体"/>
          <w:color w:val="000000"/>
          <w:sz w:val="24"/>
        </w:rPr>
        <w:t xml:space="preserve"> </w:t>
      </w:r>
      <w:r>
        <w:rPr>
          <w:rFonts w:hint="eastAsia" w:asciiTheme="minorEastAsia" w:hAnsiTheme="minorEastAsia" w:eastAsiaTheme="minorEastAsia"/>
          <w:sz w:val="24"/>
          <w:lang w:val="zh-CN"/>
        </w:rPr>
        <w:t>竞价人必须是具有独立承担民事责任能力的在中华人民共和国境内注册的法人或其他组织【提供有效的营业执照或法人登记证书复印件】。如为独立法人设立的分支机构参加投标，竞价人需另外提供独立法人出具的明确竞价人的权限范围的唯一投标授权书，并提交独立法人有效的营业执照或法人登记证书复印件】。</w:t>
      </w:r>
    </w:p>
    <w:p w14:paraId="26876ECD">
      <w:pPr>
        <w:spacing w:line="360" w:lineRule="auto"/>
        <w:ind w:firstLine="480" w:firstLineChars="200"/>
        <w:rPr>
          <w:rFonts w:ascii="宋体" w:hAnsi="宋体" w:cs="宋体"/>
          <w:color w:val="000000"/>
          <w:sz w:val="24"/>
        </w:rPr>
      </w:pPr>
      <w:bookmarkStart w:id="10" w:name="_Hlk81225958"/>
      <w:r>
        <w:rPr>
          <w:rFonts w:ascii="宋体" w:hAnsi="宋体" w:cs="宋体"/>
          <w:sz w:val="24"/>
          <w:shd w:val="clear" w:color="auto" w:fill="FFFFFF"/>
        </w:rPr>
        <w:t xml:space="preserve">2. </w:t>
      </w:r>
      <w:r>
        <w:rPr>
          <w:rFonts w:hint="eastAsia" w:ascii="宋体" w:hAnsi="宋体" w:cs="宋体"/>
          <w:sz w:val="24"/>
        </w:rPr>
        <w:t>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bookmarkEnd w:id="10"/>
    <w:p w14:paraId="34B26B51">
      <w:pPr>
        <w:spacing w:line="360" w:lineRule="auto"/>
        <w:ind w:firstLine="480" w:firstLineChars="200"/>
        <w:rPr>
          <w:rFonts w:ascii="宋体" w:hAnsi="宋体" w:cs="宋体"/>
          <w:color w:val="000000"/>
          <w:sz w:val="24"/>
        </w:rPr>
      </w:pPr>
      <w:r>
        <w:rPr>
          <w:rFonts w:ascii="宋体" w:hAnsi="宋体" w:cs="宋体"/>
          <w:color w:val="000000"/>
          <w:sz w:val="24"/>
        </w:rPr>
        <w:t>3.</w:t>
      </w:r>
      <w:r>
        <w:rPr>
          <w:rFonts w:hint="eastAsia" w:asciiTheme="minorEastAsia" w:hAnsiTheme="minorEastAsia" w:eastAsiaTheme="minorEastAsia"/>
          <w:sz w:val="24"/>
          <w:lang w:val="zh-CN"/>
        </w:rPr>
        <w:t>本次采购不接受联合体响应</w:t>
      </w:r>
      <w:r>
        <w:rPr>
          <w:rFonts w:hint="eastAsia" w:ascii="宋体" w:hAnsi="宋体" w:cs="宋体"/>
          <w:color w:val="000000"/>
          <w:sz w:val="24"/>
        </w:rPr>
        <w:t>。</w:t>
      </w:r>
    </w:p>
    <w:p w14:paraId="3BCBC8C9">
      <w:pPr>
        <w:spacing w:before="120" w:beforeLines="50" w:line="360" w:lineRule="auto"/>
        <w:rPr>
          <w:rFonts w:ascii="宋体" w:hAnsi="宋体"/>
          <w:b/>
          <w:color w:val="000000"/>
          <w:sz w:val="24"/>
        </w:rPr>
      </w:pPr>
      <w:r>
        <w:rPr>
          <w:rFonts w:hint="eastAsia" w:ascii="宋体" w:hAnsi="宋体"/>
          <w:b/>
          <w:color w:val="000000"/>
          <w:sz w:val="24"/>
        </w:rPr>
        <w:t>四、电子竞价文件的获取</w:t>
      </w:r>
    </w:p>
    <w:p w14:paraId="13E29001">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 xml:space="preserve"> </w:t>
      </w:r>
      <w:r>
        <w:rPr>
          <w:rFonts w:hint="eastAsia" w:ascii="宋体" w:hAnsi="宋体" w:cs="宋体"/>
          <w:color w:val="000000"/>
          <w:sz w:val="24"/>
        </w:rPr>
        <w:t>文件获取时间为</w:t>
      </w:r>
      <w:r>
        <w:rPr>
          <w:rFonts w:hint="eastAsia" w:ascii="宋体" w:hAnsi="宋体" w:cs="宋体"/>
          <w:b/>
          <w:bCs/>
          <w:color w:val="000000"/>
          <w:sz w:val="24"/>
        </w:rPr>
        <w:t>2</w:t>
      </w:r>
      <w:r>
        <w:rPr>
          <w:rFonts w:ascii="宋体" w:hAnsi="宋体" w:cs="宋体"/>
          <w:b/>
          <w:bCs/>
          <w:color w:val="000000"/>
          <w:sz w:val="24"/>
        </w:rPr>
        <w:t>025</w:t>
      </w:r>
      <w:r>
        <w:rPr>
          <w:rFonts w:hint="eastAsia" w:ascii="宋体" w:hAnsi="宋体" w:cs="宋体"/>
          <w:b/>
          <w:bCs/>
          <w:color w:val="000000"/>
          <w:sz w:val="24"/>
        </w:rPr>
        <w:t>年</w:t>
      </w:r>
      <w:r>
        <w:rPr>
          <w:rFonts w:ascii="宋体" w:hAnsi="宋体" w:cs="宋体"/>
          <w:b/>
          <w:bCs/>
          <w:color w:val="000000"/>
          <w:sz w:val="24"/>
        </w:rPr>
        <w:t>06</w:t>
      </w:r>
      <w:r>
        <w:rPr>
          <w:rFonts w:hint="eastAsia" w:ascii="宋体" w:hAnsi="宋体" w:cs="宋体"/>
          <w:b/>
          <w:bCs/>
          <w:color w:val="000000"/>
          <w:sz w:val="24"/>
        </w:rPr>
        <w:t>月</w:t>
      </w:r>
      <w:r>
        <w:rPr>
          <w:rFonts w:ascii="宋体" w:hAnsi="宋体" w:cs="宋体"/>
          <w:b/>
          <w:bCs/>
          <w:color w:val="000000"/>
          <w:sz w:val="24"/>
        </w:rPr>
        <w:t>10</w:t>
      </w:r>
      <w:r>
        <w:rPr>
          <w:rFonts w:hint="eastAsia" w:ascii="宋体" w:hAnsi="宋体" w:cs="宋体"/>
          <w:b/>
          <w:bCs/>
          <w:color w:val="000000"/>
          <w:sz w:val="24"/>
        </w:rPr>
        <w:t>日起至202</w:t>
      </w:r>
      <w:r>
        <w:rPr>
          <w:rFonts w:ascii="宋体" w:hAnsi="宋体" w:cs="宋体"/>
          <w:b/>
          <w:bCs/>
          <w:color w:val="000000"/>
          <w:sz w:val="24"/>
        </w:rPr>
        <w:t>5</w:t>
      </w:r>
      <w:r>
        <w:rPr>
          <w:rFonts w:hint="eastAsia" w:ascii="宋体" w:hAnsi="宋体" w:cs="宋体"/>
          <w:b/>
          <w:bCs/>
          <w:color w:val="000000"/>
          <w:sz w:val="24"/>
        </w:rPr>
        <w:t>年</w:t>
      </w:r>
      <w:r>
        <w:rPr>
          <w:rFonts w:ascii="宋体" w:hAnsi="宋体" w:cs="宋体"/>
          <w:b/>
          <w:bCs/>
          <w:color w:val="000000"/>
          <w:sz w:val="24"/>
        </w:rPr>
        <w:t>06</w:t>
      </w:r>
      <w:r>
        <w:rPr>
          <w:rFonts w:hint="eastAsia" w:ascii="宋体" w:hAnsi="宋体" w:cs="宋体"/>
          <w:b/>
          <w:bCs/>
          <w:color w:val="000000"/>
          <w:sz w:val="24"/>
        </w:rPr>
        <w:t>月</w:t>
      </w:r>
      <w:r>
        <w:rPr>
          <w:rFonts w:ascii="宋体" w:hAnsi="宋体" w:cs="宋体"/>
          <w:b/>
          <w:bCs/>
          <w:color w:val="000000"/>
          <w:sz w:val="24"/>
        </w:rPr>
        <w:t>12</w:t>
      </w:r>
      <w:r>
        <w:rPr>
          <w:rFonts w:hint="eastAsia" w:ascii="宋体" w:hAnsi="宋体" w:cs="宋体"/>
          <w:b/>
          <w:bCs/>
          <w:color w:val="000000"/>
          <w:sz w:val="24"/>
        </w:rPr>
        <w:t>日</w:t>
      </w:r>
      <w:r>
        <w:rPr>
          <w:rFonts w:hint="eastAsia" w:ascii="宋体" w:hAnsi="宋体" w:cs="宋体"/>
          <w:color w:val="000000"/>
          <w:sz w:val="24"/>
        </w:rPr>
        <w:t>，每日上午8：30时至17：00时（北京时间，下同），凡有意参与符合</w:t>
      </w:r>
      <w:r>
        <w:rPr>
          <w:rFonts w:ascii="宋体" w:hAnsi="宋体" w:cs="宋体"/>
          <w:color w:val="000000"/>
          <w:sz w:val="24"/>
        </w:rPr>
        <w:t>资格要求的</w:t>
      </w:r>
      <w:r>
        <w:rPr>
          <w:rFonts w:hint="eastAsia" w:ascii="宋体" w:hAnsi="宋体" w:cs="宋体"/>
          <w:color w:val="000000"/>
          <w:sz w:val="24"/>
        </w:rPr>
        <w:t>潜在供应商请登录“诚E招”（</w:t>
      </w:r>
      <w:r>
        <w:rPr>
          <w:rFonts w:ascii="宋体" w:hAnsi="宋体" w:cs="宋体"/>
          <w:color w:val="000000"/>
          <w:sz w:val="24"/>
        </w:rPr>
        <w:t>网址：www.chengezhao.com</w:t>
      </w:r>
      <w:r>
        <w:rPr>
          <w:rFonts w:hint="eastAsia" w:ascii="宋体" w:hAnsi="宋体" w:cs="宋体"/>
          <w:color w:val="000000"/>
          <w:sz w:val="24"/>
        </w:rPr>
        <w:t>）进行项目报名（已在该系统注册过的供应商请直接登录系统进行项目报名，未在该系统注册的供应商请先注册，获取登录账号后登录系统进行项目报名）及获取竞价文件。</w:t>
      </w:r>
    </w:p>
    <w:p w14:paraId="75BB26B0">
      <w:pPr>
        <w:widowControl/>
        <w:spacing w:line="360" w:lineRule="auto"/>
        <w:ind w:firstLine="602" w:firstLineChars="250"/>
        <w:jc w:val="left"/>
        <w:rPr>
          <w:rFonts w:ascii="宋体" w:hAnsi="宋体" w:cs="宋体"/>
          <w:b/>
          <w:color w:val="000000"/>
          <w:sz w:val="24"/>
        </w:rPr>
      </w:pPr>
      <w:r>
        <w:rPr>
          <w:rFonts w:hint="eastAsia" w:ascii="宋体" w:hAnsi="宋体" w:cs="宋体"/>
          <w:b/>
          <w:color w:val="000000"/>
          <w:sz w:val="24"/>
        </w:rPr>
        <w:t>报名上传资料详见本公告尾处附件。</w:t>
      </w:r>
    </w:p>
    <w:p w14:paraId="27C83436">
      <w:pPr>
        <w:widowControl/>
        <w:spacing w:line="360" w:lineRule="auto"/>
        <w:ind w:firstLine="600" w:firstLineChars="250"/>
        <w:jc w:val="left"/>
        <w:rPr>
          <w:rFonts w:ascii="宋体" w:hAnsi="宋体" w:cs="宋体"/>
          <w:b/>
          <w:color w:val="000000"/>
          <w:kern w:val="0"/>
          <w:sz w:val="24"/>
        </w:rPr>
      </w:pPr>
      <w:r>
        <w:rPr>
          <w:rFonts w:hint="eastAsia" w:ascii="宋体" w:hAnsi="宋体" w:cs="宋体"/>
          <w:color w:val="000000"/>
          <w:kern w:val="0"/>
          <w:sz w:val="24"/>
        </w:rPr>
        <w:t>按照报名资料附件格式填写报名资料并页盖章上传至诚E招。</w:t>
      </w:r>
      <w:r>
        <w:rPr>
          <w:rFonts w:hint="eastAsia" w:ascii="宋体" w:hAnsi="宋体" w:cs="宋体"/>
          <w:b/>
          <w:color w:val="000000"/>
          <w:kern w:val="0"/>
          <w:sz w:val="24"/>
        </w:rPr>
        <w:t>报名资料审核合格后才有资格进入竞价环节。</w:t>
      </w:r>
    </w:p>
    <w:p w14:paraId="4687C246">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 xml:space="preserve"> </w:t>
      </w:r>
      <w:r>
        <w:rPr>
          <w:rFonts w:hint="eastAsia" w:ascii="宋体" w:hAnsi="宋体" w:cs="宋体"/>
          <w:color w:val="000000"/>
          <w:sz w:val="24"/>
        </w:rPr>
        <w:t>资格审核通过的供应商登录系统进行竞价文件的获取，竞价文件每套售价人民币</w:t>
      </w:r>
      <w:r>
        <w:rPr>
          <w:rFonts w:hint="eastAsia" w:ascii="宋体" w:hAnsi="宋体" w:cs="宋体"/>
          <w:color w:val="000000"/>
          <w:sz w:val="24"/>
          <w:u w:val="single"/>
        </w:rPr>
        <w:t>0</w:t>
      </w:r>
      <w:r>
        <w:rPr>
          <w:rFonts w:hint="eastAsia" w:ascii="宋体" w:hAnsi="宋体" w:cs="宋体"/>
          <w:color w:val="000000"/>
          <w:sz w:val="24"/>
        </w:rPr>
        <w:t>元，平台服务费人民币</w:t>
      </w:r>
      <w:r>
        <w:rPr>
          <w:rFonts w:ascii="宋体" w:hAnsi="宋体" w:cs="宋体"/>
          <w:color w:val="000000"/>
          <w:sz w:val="24"/>
          <w:u w:val="single"/>
        </w:rPr>
        <w:t>3</w:t>
      </w:r>
      <w:r>
        <w:rPr>
          <w:rFonts w:hint="eastAsia" w:ascii="宋体" w:hAnsi="宋体" w:cs="宋体"/>
          <w:color w:val="000000"/>
          <w:sz w:val="24"/>
          <w:u w:val="single"/>
        </w:rPr>
        <w:t>00元</w:t>
      </w:r>
      <w:r>
        <w:rPr>
          <w:rFonts w:hint="eastAsia" w:ascii="宋体" w:hAnsi="宋体" w:cs="宋体"/>
          <w:color w:val="000000"/>
          <w:sz w:val="24"/>
        </w:rPr>
        <w:t>，</w:t>
      </w:r>
      <w:r>
        <w:rPr>
          <w:rFonts w:ascii="宋体" w:hAnsi="宋体" w:cs="宋体"/>
          <w:color w:val="000000"/>
          <w:sz w:val="24"/>
        </w:rPr>
        <w:t>售后不退</w:t>
      </w:r>
      <w:r>
        <w:rPr>
          <w:rFonts w:hint="eastAsia" w:ascii="宋体" w:hAnsi="宋体" w:cs="宋体"/>
          <w:color w:val="000000"/>
          <w:sz w:val="24"/>
        </w:rPr>
        <w:t>。</w:t>
      </w:r>
    </w:p>
    <w:p w14:paraId="6134DC48">
      <w:pPr>
        <w:spacing w:before="120" w:beforeLines="50" w:line="360" w:lineRule="auto"/>
        <w:rPr>
          <w:rFonts w:ascii="宋体" w:hAnsi="宋体"/>
          <w:b/>
          <w:color w:val="000000"/>
          <w:sz w:val="24"/>
        </w:rPr>
      </w:pPr>
      <w:r>
        <w:rPr>
          <w:rFonts w:hint="eastAsia" w:ascii="宋体" w:hAnsi="宋体"/>
          <w:b/>
          <w:color w:val="000000"/>
          <w:sz w:val="24"/>
        </w:rPr>
        <w:t>五、电子竞价</w:t>
      </w:r>
      <w:r>
        <w:rPr>
          <w:rFonts w:ascii="宋体" w:hAnsi="宋体"/>
          <w:b/>
          <w:color w:val="000000"/>
          <w:sz w:val="24"/>
        </w:rPr>
        <w:t>时间</w:t>
      </w:r>
      <w:r>
        <w:rPr>
          <w:rFonts w:hint="eastAsia" w:ascii="宋体" w:hAnsi="宋体"/>
          <w:b/>
          <w:color w:val="000000"/>
          <w:sz w:val="24"/>
        </w:rPr>
        <w:t>和</w:t>
      </w:r>
      <w:r>
        <w:rPr>
          <w:rFonts w:ascii="宋体" w:hAnsi="宋体"/>
          <w:b/>
          <w:color w:val="000000"/>
          <w:sz w:val="24"/>
        </w:rPr>
        <w:t>方式</w:t>
      </w:r>
    </w:p>
    <w:p w14:paraId="43F3A2BA">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 xml:space="preserve"> </w:t>
      </w:r>
      <w:r>
        <w:rPr>
          <w:rFonts w:hint="eastAsia" w:ascii="宋体" w:hAnsi="宋体" w:cs="宋体"/>
          <w:color w:val="000000"/>
          <w:sz w:val="24"/>
        </w:rPr>
        <w:t>本项目在公诚E招电子采购交易平台（https://www.chengezhao.com/）进行全流程电子竞价，竞价人在规定时间登录系统进行竞价。</w:t>
      </w:r>
    </w:p>
    <w:p w14:paraId="74B69AF9">
      <w:pPr>
        <w:spacing w:line="360" w:lineRule="auto"/>
        <w:ind w:firstLine="480" w:firstLineChars="200"/>
        <w:rPr>
          <w:rFonts w:ascii="宋体" w:hAnsi="宋体" w:cs="宋体"/>
          <w:color w:val="000000"/>
          <w:sz w:val="24"/>
        </w:rPr>
      </w:pPr>
      <w:r>
        <w:rPr>
          <w:rFonts w:hint="eastAsia" w:ascii="宋体" w:hAnsi="宋体" w:cs="宋体"/>
          <w:color w:val="000000"/>
          <w:sz w:val="24"/>
        </w:rPr>
        <w:t>路径如下：登录诚E招—点击“我的项目”菜单—进入参与的项目列表页面—点击对应的竞价项目的【操作】按钮—进入项目主控台—点击主控台的【网上竞价】按钮进入竞价大厅。</w:t>
      </w:r>
    </w:p>
    <w:p w14:paraId="1C6447C2">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 xml:space="preserve"> </w:t>
      </w:r>
      <w:r>
        <w:rPr>
          <w:rFonts w:hint="eastAsia" w:ascii="宋体" w:hAnsi="宋体" w:cs="宋体"/>
          <w:color w:val="000000"/>
          <w:sz w:val="24"/>
        </w:rPr>
        <w:t>竞价</w:t>
      </w:r>
      <w:r>
        <w:rPr>
          <w:rFonts w:ascii="宋体" w:hAnsi="宋体" w:cs="宋体"/>
          <w:color w:val="000000"/>
          <w:sz w:val="24"/>
        </w:rPr>
        <w:t>开始时间为</w:t>
      </w:r>
      <w:r>
        <w:rPr>
          <w:rFonts w:hint="eastAsia" w:ascii="宋体" w:hAnsi="宋体" w:cs="宋体"/>
          <w:color w:val="000000"/>
          <w:sz w:val="24"/>
        </w:rPr>
        <w:t>：</w:t>
      </w:r>
      <w:r>
        <w:rPr>
          <w:rFonts w:hint="eastAsia" w:ascii="宋体" w:hAnsi="宋体" w:cs="宋体"/>
          <w:b/>
          <w:bCs/>
          <w:color w:val="000000"/>
          <w:sz w:val="24"/>
        </w:rPr>
        <w:t>202</w:t>
      </w:r>
      <w:r>
        <w:rPr>
          <w:rFonts w:ascii="宋体" w:hAnsi="宋体" w:cs="宋体"/>
          <w:b/>
          <w:bCs/>
          <w:color w:val="000000"/>
          <w:sz w:val="24"/>
        </w:rPr>
        <w:t>5</w:t>
      </w:r>
      <w:r>
        <w:rPr>
          <w:rFonts w:hint="eastAsia" w:ascii="宋体" w:hAnsi="宋体" w:cs="宋体"/>
          <w:b/>
          <w:bCs/>
          <w:color w:val="000000"/>
          <w:sz w:val="24"/>
        </w:rPr>
        <w:t>年</w:t>
      </w:r>
      <w:r>
        <w:rPr>
          <w:rFonts w:ascii="宋体" w:hAnsi="宋体" w:cs="宋体"/>
          <w:b/>
          <w:bCs/>
          <w:color w:val="000000"/>
          <w:sz w:val="24"/>
        </w:rPr>
        <w:t>06月13日10</w:t>
      </w:r>
      <w:r>
        <w:rPr>
          <w:rFonts w:hint="eastAsia" w:ascii="宋体" w:hAnsi="宋体" w:cs="宋体"/>
          <w:b/>
          <w:bCs/>
          <w:color w:val="000000"/>
          <w:sz w:val="24"/>
        </w:rPr>
        <w:t>:00时</w:t>
      </w:r>
      <w:r>
        <w:rPr>
          <w:rFonts w:hint="eastAsia" w:ascii="宋体" w:hAnsi="宋体" w:cs="宋体"/>
          <w:color w:val="000000"/>
          <w:sz w:val="24"/>
        </w:rPr>
        <w:t>；</w:t>
      </w:r>
    </w:p>
    <w:p w14:paraId="4E219659">
      <w:pPr>
        <w:spacing w:line="360" w:lineRule="auto"/>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．竞价</w:t>
      </w:r>
      <w:r>
        <w:rPr>
          <w:rFonts w:ascii="宋体" w:hAnsi="宋体" w:cs="宋体"/>
          <w:color w:val="000000"/>
          <w:sz w:val="24"/>
        </w:rPr>
        <w:t>结束时间为：</w:t>
      </w:r>
      <w:r>
        <w:rPr>
          <w:rFonts w:hint="eastAsia" w:ascii="宋体" w:hAnsi="宋体" w:cs="宋体"/>
          <w:b/>
          <w:bCs/>
          <w:color w:val="000000"/>
          <w:sz w:val="24"/>
        </w:rPr>
        <w:t>202</w:t>
      </w:r>
      <w:r>
        <w:rPr>
          <w:rFonts w:ascii="宋体" w:hAnsi="宋体" w:cs="宋体"/>
          <w:b/>
          <w:bCs/>
          <w:color w:val="000000"/>
          <w:sz w:val="24"/>
        </w:rPr>
        <w:t>5</w:t>
      </w:r>
      <w:r>
        <w:rPr>
          <w:rFonts w:hint="eastAsia" w:ascii="宋体" w:hAnsi="宋体" w:cs="宋体"/>
          <w:b/>
          <w:bCs/>
          <w:color w:val="000000"/>
          <w:sz w:val="24"/>
        </w:rPr>
        <w:t>年</w:t>
      </w:r>
      <w:r>
        <w:rPr>
          <w:rFonts w:ascii="宋体" w:hAnsi="宋体" w:cs="宋体"/>
          <w:b/>
          <w:bCs/>
          <w:color w:val="000000"/>
          <w:sz w:val="24"/>
        </w:rPr>
        <w:t>06月13日</w:t>
      </w:r>
      <w:r>
        <w:rPr>
          <w:rFonts w:hint="eastAsia" w:ascii="宋体" w:hAnsi="宋体" w:cs="宋体"/>
          <w:b/>
          <w:bCs/>
          <w:color w:val="000000"/>
          <w:sz w:val="24"/>
        </w:rPr>
        <w:t>1</w:t>
      </w:r>
      <w:r>
        <w:rPr>
          <w:rFonts w:ascii="宋体" w:hAnsi="宋体" w:cs="宋体"/>
          <w:b/>
          <w:bCs/>
          <w:color w:val="000000"/>
          <w:sz w:val="24"/>
        </w:rPr>
        <w:t>1</w:t>
      </w:r>
      <w:r>
        <w:rPr>
          <w:rFonts w:hint="eastAsia" w:ascii="宋体" w:hAnsi="宋体" w:cs="宋体"/>
          <w:b/>
          <w:bCs/>
          <w:color w:val="000000"/>
          <w:sz w:val="24"/>
        </w:rPr>
        <w:t>:00时</w:t>
      </w:r>
      <w:r>
        <w:rPr>
          <w:rFonts w:hint="eastAsia" w:ascii="宋体" w:hAnsi="宋体" w:cs="宋体"/>
          <w:color w:val="000000"/>
          <w:sz w:val="24"/>
        </w:rPr>
        <w:t>；</w:t>
      </w:r>
    </w:p>
    <w:p w14:paraId="7991A8FF">
      <w:pPr>
        <w:spacing w:before="120" w:beforeLines="50" w:line="360" w:lineRule="auto"/>
        <w:rPr>
          <w:rFonts w:ascii="宋体" w:hAnsi="宋体"/>
          <w:b/>
          <w:color w:val="000000"/>
          <w:sz w:val="24"/>
        </w:rPr>
      </w:pPr>
      <w:r>
        <w:rPr>
          <w:rFonts w:hint="eastAsia" w:ascii="宋体" w:hAnsi="宋体"/>
          <w:b/>
          <w:color w:val="000000"/>
          <w:sz w:val="24"/>
        </w:rPr>
        <w:t>六、竞价规则</w:t>
      </w:r>
    </w:p>
    <w:p w14:paraId="640D4894">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报价要求：竞价人对本项目在参考单价的基础上按统一比例报下浮率，例如某竞价人对本采购项目的各规格产品统一打九折，则下浮率为10.00%。</w:t>
      </w:r>
    </w:p>
    <w:p w14:paraId="6CA63F0A">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报价形式：</w:t>
      </w:r>
    </w:p>
    <w:p w14:paraId="40CD4457">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（1）本次系统报价范围如下：0~100元，由于系统显示原因，报的数字即为下浮率，如20元，即统一下浮率为20%。竞价幅度由采购人根据项目需求特点确定。每个竞价供应商在竞价规定范围内可多次连续报价；</w:t>
      </w:r>
    </w:p>
    <w:p w14:paraId="1DC3920D">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举例：如报价10元，即意味着下浮率为10%。即该包组的所有物品含税单价结算价=对应单个采购物品最高限价*（1-10%）。</w:t>
      </w:r>
    </w:p>
    <w:p w14:paraId="72C6CB65">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3、各包组的中选原则：评审价=（1-下浮率）/（1+税率），电子竞价按照满足竞价需求且评审价最低的原则确定该包组的成交供应商。报价时间截止后，系统按以下原则确定各包组的成交候选人排序：</w:t>
      </w:r>
    </w:p>
    <w:p w14:paraId="4F75D741">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（1）评审价最低的，排序第一；</w:t>
      </w:r>
    </w:p>
    <w:p w14:paraId="76CFB24D">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（2）评审价相同的，按报价时间先后顺序排序；</w:t>
      </w:r>
    </w:p>
    <w:p w14:paraId="18F81E13">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（3）评审价且报价时间相同的，系统随机确定。</w:t>
      </w:r>
    </w:p>
    <w:p w14:paraId="01A67A2D">
      <w:pPr>
        <w:tabs>
          <w:tab w:val="left" w:pos="315"/>
          <w:tab w:val="left" w:pos="1785"/>
          <w:tab w:val="left" w:pos="2310"/>
          <w:tab w:val="left" w:pos="8640"/>
        </w:tabs>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 xml:space="preserve"> </w:t>
      </w:r>
      <w:r>
        <w:rPr>
          <w:rFonts w:hint="eastAsia" w:ascii="宋体" w:hAnsi="宋体" w:cs="宋体"/>
          <w:color w:val="000000"/>
          <w:sz w:val="24"/>
        </w:rPr>
        <w:t>出现下列情形的，网上竞价采购活动失败：满足竞价需求的品牌或有效报价不足3个，竞价失败。</w:t>
      </w:r>
    </w:p>
    <w:p w14:paraId="6AA9B775">
      <w:pPr>
        <w:adjustRightInd w:val="0"/>
        <w:snapToGrid w:val="0"/>
        <w:spacing w:line="360" w:lineRule="auto"/>
        <w:ind w:firstLine="480" w:firstLineChars="200"/>
        <w:rPr>
          <w:rFonts w:ascii="宋体" w:hAnsi="宋体" w:cs="宋体"/>
          <w:b/>
          <w:bCs/>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竞价结束后，供应商应及时补填明细并上传加盖公章的报价一览表（格式参见第四部分 报价清单），</w:t>
      </w:r>
      <w:r>
        <w:rPr>
          <w:rFonts w:hint="eastAsia" w:ascii="宋体" w:hAnsi="宋体" w:cs="宋体"/>
          <w:b/>
          <w:bCs/>
          <w:color w:val="000000"/>
          <w:sz w:val="24"/>
        </w:rPr>
        <w:t>路径为：主控台—点击补填明细或补传报价文件。</w:t>
      </w:r>
    </w:p>
    <w:p w14:paraId="0BEFFCAB">
      <w:pPr>
        <w:spacing w:before="120" w:beforeLines="50" w:line="360" w:lineRule="auto"/>
        <w:ind w:firstLine="480" w:firstLineChars="200"/>
        <w:rPr>
          <w:rFonts w:ascii="宋体" w:hAnsi="宋体" w:cs="宋体"/>
          <w:color w:val="000000"/>
          <w:sz w:val="24"/>
        </w:rPr>
      </w:pPr>
      <w:r>
        <w:rPr>
          <w:rFonts w:hint="eastAsia" w:ascii="宋体" w:hAnsi="宋体" w:cs="宋体"/>
          <w:color w:val="000000"/>
          <w:sz w:val="24"/>
        </w:rPr>
        <w:t>报价清单原件还需邮寄或现场交至采购代理机构处，地址和联系人详见本公告第九点。</w:t>
      </w:r>
    </w:p>
    <w:p w14:paraId="10BCE00D">
      <w:pPr>
        <w:adjustRightInd w:val="0"/>
        <w:snapToGrid w:val="0"/>
        <w:spacing w:line="360" w:lineRule="auto"/>
        <w:jc w:val="left"/>
        <w:rPr>
          <w:rFonts w:ascii="宋体" w:hAnsi="宋体" w:cs="宋体"/>
          <w:b/>
          <w:bCs/>
          <w:color w:val="000000"/>
          <w:sz w:val="24"/>
        </w:rPr>
      </w:pPr>
      <w:r>
        <w:rPr>
          <w:rFonts w:hint="eastAsia" w:ascii="宋体" w:hAnsi="宋体" w:cs="宋体"/>
          <w:b/>
          <w:bCs/>
          <w:color w:val="000000"/>
          <w:sz w:val="24"/>
        </w:rPr>
        <w:t>七、本次竞价服务费为1</w:t>
      </w:r>
      <w:r>
        <w:rPr>
          <w:rFonts w:ascii="宋体" w:hAnsi="宋体" w:cs="宋体"/>
          <w:b/>
          <w:bCs/>
          <w:color w:val="000000"/>
          <w:sz w:val="24"/>
        </w:rPr>
        <w:t>500</w:t>
      </w:r>
      <w:r>
        <w:rPr>
          <w:rFonts w:hint="eastAsia" w:ascii="宋体" w:hAnsi="宋体" w:cs="宋体"/>
          <w:b/>
          <w:bCs/>
          <w:color w:val="000000"/>
          <w:sz w:val="24"/>
        </w:rPr>
        <w:t>元，由中选人支付。</w:t>
      </w:r>
    </w:p>
    <w:p w14:paraId="38EC017B">
      <w:pPr>
        <w:spacing w:before="120" w:beforeLines="50" w:line="360" w:lineRule="auto"/>
        <w:rPr>
          <w:rFonts w:ascii="宋体" w:hAnsi="宋体"/>
          <w:b/>
          <w:color w:val="000000"/>
          <w:sz w:val="24"/>
        </w:rPr>
      </w:pPr>
      <w:r>
        <w:rPr>
          <w:rFonts w:hint="eastAsia" w:ascii="宋体" w:hAnsi="宋体"/>
          <w:b/>
          <w:color w:val="000000"/>
          <w:sz w:val="24"/>
        </w:rPr>
        <w:t>八、发布公告的媒介</w:t>
      </w:r>
    </w:p>
    <w:p w14:paraId="51018C59">
      <w:pPr>
        <w:spacing w:before="120" w:line="360" w:lineRule="auto"/>
        <w:ind w:firstLine="480" w:firstLineChars="200"/>
        <w:rPr>
          <w:rFonts w:ascii="宋体" w:hAnsi="宋体"/>
          <w:color w:val="000000"/>
          <w:sz w:val="24"/>
        </w:rPr>
      </w:pPr>
      <w:r>
        <w:rPr>
          <w:rFonts w:hint="eastAsia" w:ascii="宋体" w:hAnsi="宋体"/>
          <w:color w:val="000000"/>
          <w:sz w:val="24"/>
        </w:rPr>
        <w:t>本次公告在</w:t>
      </w:r>
      <w:r>
        <w:rPr>
          <w:rFonts w:hint="eastAsia" w:ascii="宋体" w:hAnsi="宋体"/>
          <w:sz w:val="24"/>
        </w:rPr>
        <w:t>广东省广播电视网络股份有限公司官方网站（http://www.gcable.tv）、</w:t>
      </w:r>
      <w:r>
        <w:rPr>
          <w:rFonts w:hint="eastAsia" w:ascii="宋体" w:hAnsi="宋体"/>
          <w:color w:val="000000"/>
          <w:sz w:val="24"/>
        </w:rPr>
        <w:t>诚E招电子采购交易平台（https://www.chengezhao.com/）上发布，其他媒体转载无效。本公告在各媒体发布的文本如有不同之处，以在</w:t>
      </w:r>
      <w:r>
        <w:rPr>
          <w:rFonts w:hint="eastAsia" w:ascii="宋体" w:hAnsi="宋体"/>
          <w:sz w:val="24"/>
        </w:rPr>
        <w:t>广东省广播电视网络股份有限公司官方网站（http://www.gcable.tv）</w:t>
      </w:r>
      <w:r>
        <w:rPr>
          <w:rFonts w:hint="eastAsia" w:ascii="宋体" w:hAnsi="宋体"/>
          <w:color w:val="000000"/>
          <w:sz w:val="24"/>
        </w:rPr>
        <w:t>发布的文本为准。</w:t>
      </w:r>
    </w:p>
    <w:p w14:paraId="437202CE">
      <w:pPr>
        <w:spacing w:before="120" w:beforeLines="50" w:line="360" w:lineRule="auto"/>
        <w:rPr>
          <w:rFonts w:ascii="宋体" w:hAnsi="宋体"/>
          <w:b/>
          <w:color w:val="000000"/>
          <w:sz w:val="24"/>
        </w:rPr>
      </w:pPr>
      <w:r>
        <w:rPr>
          <w:rFonts w:hint="eastAsia" w:ascii="宋体" w:hAnsi="宋体"/>
          <w:b/>
          <w:color w:val="000000"/>
          <w:sz w:val="24"/>
        </w:rPr>
        <w:t>九、联系方式</w:t>
      </w:r>
    </w:p>
    <w:p w14:paraId="07E275D3">
      <w:pPr>
        <w:spacing w:line="360" w:lineRule="auto"/>
        <w:ind w:firstLine="480" w:firstLineChars="200"/>
        <w:rPr>
          <w:rFonts w:ascii="宋体" w:hAnsi="宋体"/>
          <w:b/>
          <w:color w:val="000000"/>
          <w:sz w:val="24"/>
        </w:rPr>
      </w:pPr>
      <w:r>
        <w:rPr>
          <w:rFonts w:hint="eastAsia" w:ascii="宋体" w:hAnsi="宋体"/>
          <w:color w:val="000000"/>
          <w:sz w:val="24"/>
        </w:rPr>
        <w:t>采购代理机构</w:t>
      </w:r>
      <w:r>
        <w:rPr>
          <w:rFonts w:ascii="宋体" w:hAnsi="宋体"/>
          <w:color w:val="000000"/>
          <w:sz w:val="24"/>
        </w:rPr>
        <w:t>：公诚管理咨询有限公司</w:t>
      </w:r>
    </w:p>
    <w:p w14:paraId="15CEE317">
      <w:pPr>
        <w:spacing w:line="360" w:lineRule="auto"/>
        <w:ind w:firstLine="480" w:firstLineChars="200"/>
        <w:rPr>
          <w:rFonts w:ascii="宋体" w:hAnsi="宋体"/>
          <w:color w:val="000000"/>
          <w:sz w:val="24"/>
        </w:rPr>
      </w:pPr>
      <w:r>
        <w:rPr>
          <w:rFonts w:hint="eastAsia" w:ascii="宋体" w:hAnsi="宋体"/>
          <w:color w:val="000000"/>
          <w:sz w:val="24"/>
        </w:rPr>
        <w:t>地址</w:t>
      </w:r>
      <w:r>
        <w:rPr>
          <w:rFonts w:ascii="宋体" w:hAnsi="宋体"/>
          <w:color w:val="000000"/>
          <w:sz w:val="24"/>
        </w:rPr>
        <w:t xml:space="preserve">： </w:t>
      </w:r>
      <w:r>
        <w:rPr>
          <w:rFonts w:hint="eastAsia" w:ascii="宋体" w:hAnsi="宋体"/>
          <w:color w:val="000000"/>
          <w:sz w:val="24"/>
        </w:rPr>
        <w:t>广东省汕尾市城区和顺路中段东侧万盛织造厂A栋摩方空间3</w:t>
      </w:r>
      <w:r>
        <w:rPr>
          <w:rFonts w:ascii="宋体" w:hAnsi="宋体"/>
          <w:color w:val="000000"/>
          <w:sz w:val="24"/>
        </w:rPr>
        <w:t>11</w:t>
      </w:r>
      <w:r>
        <w:rPr>
          <w:rFonts w:hint="eastAsia" w:ascii="宋体" w:hAnsi="宋体"/>
          <w:color w:val="000000"/>
          <w:sz w:val="24"/>
        </w:rPr>
        <w:t>公诚管理咨询有限公司</w:t>
      </w:r>
    </w:p>
    <w:p w14:paraId="3CEAAF1D">
      <w:pPr>
        <w:spacing w:line="360" w:lineRule="auto"/>
        <w:ind w:firstLine="480" w:firstLineChars="200"/>
        <w:rPr>
          <w:rFonts w:ascii="宋体" w:hAnsi="宋体"/>
          <w:color w:val="000000"/>
          <w:sz w:val="24"/>
        </w:rPr>
      </w:pPr>
      <w:r>
        <w:rPr>
          <w:rFonts w:hint="eastAsia" w:ascii="宋体" w:hAnsi="宋体"/>
          <w:color w:val="000000"/>
          <w:sz w:val="24"/>
        </w:rPr>
        <w:t>项目招标师：刘伟胜、吴文科、黄俊霭</w:t>
      </w:r>
    </w:p>
    <w:p w14:paraId="124CC980">
      <w:pPr>
        <w:spacing w:line="360" w:lineRule="auto"/>
        <w:ind w:firstLine="480" w:firstLineChars="200"/>
        <w:rPr>
          <w:rFonts w:ascii="宋体" w:hAnsi="宋体"/>
          <w:color w:val="000000"/>
          <w:sz w:val="24"/>
        </w:rPr>
      </w:pPr>
      <w:r>
        <w:rPr>
          <w:rFonts w:hint="eastAsia" w:ascii="宋体" w:hAnsi="宋体"/>
          <w:color w:val="000000"/>
          <w:sz w:val="24"/>
        </w:rPr>
        <w:t>联系人</w:t>
      </w:r>
      <w:r>
        <w:rPr>
          <w:rFonts w:ascii="宋体" w:hAnsi="宋体"/>
          <w:color w:val="000000"/>
          <w:sz w:val="24"/>
        </w:rPr>
        <w:t>：</w:t>
      </w:r>
      <w:r>
        <w:rPr>
          <w:rFonts w:hint="eastAsia" w:ascii="宋体" w:hAnsi="宋体"/>
          <w:color w:val="000000"/>
          <w:sz w:val="24"/>
        </w:rPr>
        <w:t>黄俊霭</w:t>
      </w:r>
    </w:p>
    <w:p w14:paraId="26DADE70">
      <w:pPr>
        <w:spacing w:line="360" w:lineRule="auto"/>
        <w:ind w:firstLine="480" w:firstLineChars="200"/>
        <w:rPr>
          <w:rFonts w:ascii="宋体" w:hAnsi="宋体"/>
          <w:color w:val="000000"/>
          <w:sz w:val="24"/>
        </w:rPr>
      </w:pPr>
      <w:r>
        <w:rPr>
          <w:rFonts w:hint="eastAsia" w:ascii="宋体" w:hAnsi="宋体"/>
          <w:color w:val="000000"/>
          <w:sz w:val="24"/>
        </w:rPr>
        <w:t>联系</w:t>
      </w:r>
      <w:r>
        <w:rPr>
          <w:rFonts w:ascii="宋体" w:hAnsi="宋体"/>
          <w:color w:val="000000"/>
          <w:sz w:val="24"/>
        </w:rPr>
        <w:t>电话：15813907864</w:t>
      </w:r>
    </w:p>
    <w:p w14:paraId="3594253C">
      <w:pPr>
        <w:spacing w:line="360" w:lineRule="auto"/>
        <w:ind w:firstLine="480" w:firstLineChars="200"/>
        <w:rPr>
          <w:rFonts w:ascii="宋体" w:hAnsi="宋体"/>
          <w:color w:val="000000"/>
          <w:sz w:val="24"/>
        </w:rPr>
      </w:pPr>
      <w:r>
        <w:rPr>
          <w:rFonts w:hint="eastAsia" w:ascii="宋体" w:hAnsi="宋体"/>
          <w:color w:val="000000"/>
          <w:sz w:val="24"/>
        </w:rPr>
        <w:t>邮箱</w:t>
      </w:r>
      <w:r>
        <w:rPr>
          <w:rFonts w:ascii="宋体" w:hAnsi="宋体"/>
          <w:color w:val="000000"/>
          <w:sz w:val="24"/>
        </w:rPr>
        <w:t>：gczbsw@163.com</w:t>
      </w:r>
    </w:p>
    <w:p w14:paraId="0F6551A1">
      <w:pPr>
        <w:spacing w:line="360" w:lineRule="auto"/>
        <w:ind w:firstLine="480" w:firstLineChars="200"/>
        <w:rPr>
          <w:rFonts w:ascii="宋体" w:hAnsi="宋体"/>
          <w:color w:val="000000"/>
          <w:sz w:val="24"/>
        </w:rPr>
      </w:pPr>
      <w:r>
        <w:rPr>
          <w:rFonts w:hint="eastAsia" w:ascii="宋体" w:hAnsi="宋体"/>
          <w:color w:val="000000"/>
          <w:sz w:val="24"/>
        </w:rPr>
        <w:t>开户银行：中信银行广州花园支行</w:t>
      </w:r>
    </w:p>
    <w:p w14:paraId="3CF9575E">
      <w:pPr>
        <w:spacing w:line="360" w:lineRule="auto"/>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3110910037672511740</w:t>
      </w:r>
    </w:p>
    <w:p w14:paraId="44998EBC">
      <w:pPr>
        <w:spacing w:before="240" w:beforeLines="100"/>
        <w:ind w:firstLine="480"/>
        <w:jc w:val="right"/>
        <w:rPr>
          <w:rFonts w:ascii="宋体" w:hAnsi="宋体"/>
          <w:color w:val="000000"/>
          <w:sz w:val="24"/>
        </w:rPr>
      </w:pPr>
      <w:r>
        <w:rPr>
          <w:rFonts w:ascii="宋体" w:hAnsi="宋体" w:cs="宋体"/>
          <w:color w:val="000000"/>
          <w:sz w:val="24"/>
        </w:rPr>
        <w:t> </w:t>
      </w:r>
      <w:r>
        <w:rPr>
          <w:rFonts w:hint="eastAsia" w:ascii="宋体" w:hAnsi="宋体"/>
          <w:color w:val="000000"/>
          <w:sz w:val="24"/>
        </w:rPr>
        <w:t>公诚管理咨询有限公司</w:t>
      </w:r>
    </w:p>
    <w:p w14:paraId="5205971D">
      <w:pPr>
        <w:pStyle w:val="22"/>
        <w:wordWrap w:val="0"/>
        <w:snapToGrid w:val="0"/>
        <w:spacing w:before="120" w:beforeLines="50" w:after="0"/>
        <w:ind w:firstLine="480"/>
        <w:jc w:val="right"/>
        <w:rPr>
          <w:rFonts w:ascii="宋体" w:hAnsi="宋体"/>
          <w:color w:val="000000"/>
          <w:sz w:val="24"/>
        </w:rPr>
      </w:pPr>
      <w:r>
        <w:rPr>
          <w:rFonts w:hint="eastAsia" w:ascii="宋体" w:hAnsi="宋体"/>
          <w:color w:val="000000"/>
          <w:sz w:val="24"/>
        </w:rPr>
        <w:t>2</w:t>
      </w:r>
      <w:r>
        <w:rPr>
          <w:rFonts w:ascii="宋体" w:hAnsi="宋体"/>
          <w:color w:val="000000"/>
          <w:sz w:val="24"/>
        </w:rPr>
        <w:t>025</w:t>
      </w:r>
      <w:r>
        <w:rPr>
          <w:rFonts w:hint="eastAsia" w:ascii="宋体" w:hAnsi="宋体"/>
          <w:color w:val="000000"/>
          <w:sz w:val="24"/>
        </w:rPr>
        <w:t>年</w:t>
      </w:r>
      <w:r>
        <w:rPr>
          <w:rFonts w:ascii="宋体" w:hAnsi="宋体"/>
          <w:color w:val="000000"/>
          <w:sz w:val="24"/>
        </w:rPr>
        <w:t>06</w:t>
      </w:r>
      <w:r>
        <w:rPr>
          <w:rFonts w:hint="eastAsia" w:ascii="宋体" w:hAnsi="宋体"/>
          <w:color w:val="000000"/>
          <w:sz w:val="24"/>
        </w:rPr>
        <w:t>月</w:t>
      </w:r>
      <w:r>
        <w:rPr>
          <w:rFonts w:ascii="宋体" w:hAnsi="宋体"/>
          <w:color w:val="000000"/>
          <w:sz w:val="24"/>
        </w:rPr>
        <w:t>09</w:t>
      </w:r>
      <w:r>
        <w:rPr>
          <w:rFonts w:hint="eastAsia" w:ascii="宋体" w:hAnsi="宋体"/>
          <w:color w:val="000000"/>
          <w:sz w:val="24"/>
        </w:rPr>
        <w:t>日</w:t>
      </w:r>
    </w:p>
    <w:p w14:paraId="3B83250D">
      <w:pPr>
        <w:pStyle w:val="22"/>
        <w:snapToGrid w:val="0"/>
        <w:spacing w:before="120" w:beforeLines="50" w:after="0"/>
        <w:ind w:firstLine="480"/>
        <w:jc w:val="right"/>
        <w:rPr>
          <w:rFonts w:ascii="宋体" w:hAnsi="宋体"/>
          <w:color w:val="000000"/>
          <w:sz w:val="24"/>
          <w:szCs w:val="28"/>
        </w:rPr>
      </w:pPr>
      <w:r>
        <w:rPr>
          <w:rFonts w:ascii="宋体" w:hAnsi="宋体"/>
          <w:color w:val="000000"/>
          <w:sz w:val="24"/>
          <w:szCs w:val="28"/>
        </w:rPr>
        <w:br w:type="page"/>
      </w:r>
    </w:p>
    <w:p w14:paraId="313144AE">
      <w:pPr>
        <w:pStyle w:val="22"/>
        <w:snapToGrid w:val="0"/>
        <w:spacing w:before="120" w:beforeLines="50" w:after="0"/>
        <w:ind w:left="0" w:leftChars="0"/>
        <w:jc w:val="left"/>
        <w:rPr>
          <w:rFonts w:ascii="宋体" w:hAnsi="宋体"/>
          <w:b/>
          <w:color w:val="000000"/>
          <w:sz w:val="36"/>
        </w:rPr>
      </w:pPr>
      <w:bookmarkStart w:id="11" w:name="_Hlk8155329"/>
      <w:r>
        <w:rPr>
          <w:rFonts w:hint="eastAsia" w:ascii="宋体" w:hAnsi="宋体"/>
          <w:b/>
          <w:color w:val="000000"/>
          <w:sz w:val="36"/>
        </w:rPr>
        <w:t xml:space="preserve">报名资料附件： </w:t>
      </w:r>
    </w:p>
    <w:p w14:paraId="4A24A2B3">
      <w:pPr>
        <w:pStyle w:val="22"/>
        <w:snapToGrid w:val="0"/>
        <w:spacing w:before="120" w:beforeLines="50" w:after="0"/>
        <w:ind w:left="0" w:leftChars="0"/>
        <w:jc w:val="left"/>
        <w:rPr>
          <w:rFonts w:ascii="宋体" w:hAnsi="宋体"/>
          <w:b/>
          <w:color w:val="000000"/>
          <w:sz w:val="36"/>
        </w:rPr>
      </w:pPr>
    </w:p>
    <w:p w14:paraId="7A827E8C">
      <w:pPr>
        <w:pStyle w:val="3"/>
      </w:pPr>
      <w:r>
        <w:rPr>
          <w:rFonts w:hint="eastAsia"/>
        </w:rPr>
        <w:t>1、承诺函</w:t>
      </w:r>
    </w:p>
    <w:p w14:paraId="7B3DB2AC">
      <w:pPr>
        <w:spacing w:after="240" w:line="360" w:lineRule="auto"/>
        <w:jc w:val="center"/>
        <w:rPr>
          <w:rFonts w:ascii="宋体" w:hAnsi="宋体"/>
          <w:b/>
          <w:bCs/>
          <w:color w:val="000000"/>
          <w:kern w:val="0"/>
          <w:sz w:val="28"/>
          <w:szCs w:val="32"/>
        </w:rPr>
      </w:pPr>
      <w:r>
        <w:rPr>
          <w:rFonts w:hint="eastAsia" w:ascii="宋体" w:hAnsi="宋体"/>
          <w:b/>
          <w:bCs/>
          <w:color w:val="000000"/>
          <w:kern w:val="0"/>
          <w:sz w:val="28"/>
          <w:szCs w:val="32"/>
        </w:rPr>
        <w:t>承诺函</w:t>
      </w:r>
    </w:p>
    <w:p w14:paraId="08FC6D65">
      <w:pPr>
        <w:spacing w:line="360" w:lineRule="auto"/>
        <w:jc w:val="left"/>
        <w:rPr>
          <w:rFonts w:ascii="宋体" w:hAnsi="宋体"/>
          <w:bCs/>
          <w:color w:val="000000"/>
          <w:kern w:val="0"/>
          <w:sz w:val="22"/>
          <w:szCs w:val="32"/>
        </w:rPr>
      </w:pPr>
      <w:r>
        <w:rPr>
          <w:rFonts w:hint="eastAsia" w:ascii="宋体" w:hAnsi="宋体"/>
          <w:bCs/>
          <w:color w:val="000000"/>
          <w:kern w:val="0"/>
          <w:sz w:val="22"/>
          <w:szCs w:val="32"/>
        </w:rPr>
        <w:t>致：广东省广播电视网络股份有限公司汕尾分公司</w:t>
      </w:r>
    </w:p>
    <w:p w14:paraId="56FD6760">
      <w:pPr>
        <w:spacing w:line="360" w:lineRule="auto"/>
        <w:jc w:val="left"/>
        <w:rPr>
          <w:rFonts w:ascii="宋体" w:hAnsi="宋体"/>
          <w:bCs/>
          <w:color w:val="000000"/>
          <w:kern w:val="0"/>
          <w:sz w:val="22"/>
          <w:szCs w:val="32"/>
        </w:rPr>
      </w:pPr>
      <w:r>
        <w:rPr>
          <w:rFonts w:hint="eastAsia" w:ascii="宋体" w:hAnsi="宋体"/>
          <w:bCs/>
          <w:color w:val="000000"/>
          <w:kern w:val="0"/>
          <w:sz w:val="22"/>
          <w:szCs w:val="32"/>
        </w:rPr>
        <w:t>项目名称：陆丰分公司数字电视平台统一项目（软件）</w:t>
      </w:r>
    </w:p>
    <w:p w14:paraId="5273A3BE">
      <w:pPr>
        <w:spacing w:line="360" w:lineRule="auto"/>
        <w:jc w:val="left"/>
        <w:rPr>
          <w:rFonts w:ascii="宋体" w:hAnsi="宋体"/>
          <w:bCs/>
          <w:color w:val="000000"/>
          <w:kern w:val="0"/>
          <w:sz w:val="22"/>
          <w:szCs w:val="32"/>
        </w:rPr>
      </w:pPr>
      <w:r>
        <w:rPr>
          <w:rFonts w:hint="eastAsia" w:ascii="宋体" w:hAnsi="宋体"/>
          <w:bCs/>
          <w:color w:val="000000"/>
          <w:kern w:val="0"/>
          <w:sz w:val="22"/>
          <w:szCs w:val="32"/>
        </w:rPr>
        <w:t>项目编号：</w:t>
      </w:r>
      <w:r>
        <w:rPr>
          <w:rFonts w:ascii="宋体" w:hAnsi="宋体"/>
          <w:bCs/>
          <w:color w:val="000000"/>
          <w:kern w:val="0"/>
          <w:sz w:val="22"/>
          <w:szCs w:val="32"/>
        </w:rPr>
        <w:t>04-06-04H-2025-D-E11740</w:t>
      </w:r>
    </w:p>
    <w:p w14:paraId="395D9002">
      <w:pPr>
        <w:spacing w:line="360" w:lineRule="auto"/>
        <w:jc w:val="left"/>
        <w:rPr>
          <w:rFonts w:ascii="宋体" w:hAnsi="宋体"/>
          <w:bCs/>
          <w:color w:val="000000"/>
          <w:kern w:val="0"/>
          <w:sz w:val="22"/>
          <w:szCs w:val="32"/>
        </w:rPr>
      </w:pPr>
      <w:r>
        <w:rPr>
          <w:rFonts w:hint="eastAsia" w:ascii="宋体" w:hAnsi="宋体"/>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556A6A5A">
      <w:pPr>
        <w:numPr>
          <w:ilvl w:val="0"/>
          <w:numId w:val="3"/>
        </w:numPr>
        <w:spacing w:line="360" w:lineRule="auto"/>
        <w:jc w:val="left"/>
        <w:rPr>
          <w:rFonts w:ascii="宋体" w:hAnsi="宋体"/>
          <w:bCs/>
          <w:color w:val="000000"/>
          <w:kern w:val="0"/>
          <w:sz w:val="22"/>
          <w:szCs w:val="32"/>
        </w:rPr>
      </w:pPr>
      <w:r>
        <w:rPr>
          <w:rFonts w:hint="eastAsia" w:ascii="宋体" w:hAnsi="宋体"/>
          <w:bCs/>
          <w:color w:val="000000"/>
          <w:kern w:val="0"/>
          <w:sz w:val="22"/>
          <w:szCs w:val="32"/>
        </w:rPr>
        <w:t>我司如参与本次竞价，则代表已承诺响应竞价文件的全部商务技术要求。</w:t>
      </w:r>
    </w:p>
    <w:p w14:paraId="6E7EDF6D">
      <w:pPr>
        <w:spacing w:line="360" w:lineRule="auto"/>
        <w:jc w:val="left"/>
        <w:rPr>
          <w:rFonts w:ascii="宋体" w:hAnsi="宋体"/>
          <w:bCs/>
          <w:color w:val="000000"/>
          <w:kern w:val="0"/>
          <w:sz w:val="22"/>
          <w:szCs w:val="32"/>
        </w:rPr>
      </w:pPr>
      <w:r>
        <w:rPr>
          <w:rFonts w:ascii="宋体" w:hAnsi="宋体"/>
          <w:bCs/>
          <w:color w:val="000000"/>
          <w:kern w:val="0"/>
          <w:sz w:val="22"/>
          <w:szCs w:val="32"/>
        </w:rPr>
        <w:t>3</w:t>
      </w:r>
      <w:r>
        <w:rPr>
          <w:rFonts w:hint="eastAsia" w:ascii="宋体" w:hAnsi="宋体"/>
          <w:bCs/>
          <w:color w:val="000000"/>
          <w:kern w:val="0"/>
          <w:sz w:val="22"/>
          <w:szCs w:val="32"/>
        </w:rPr>
        <w:t>、一旦我方成交，我方保证在竞价文件的商务技术要求完成全部内容。</w:t>
      </w:r>
    </w:p>
    <w:p w14:paraId="144E458C">
      <w:pPr>
        <w:spacing w:line="360" w:lineRule="auto"/>
        <w:jc w:val="left"/>
        <w:rPr>
          <w:rFonts w:ascii="宋体" w:hAnsi="宋体"/>
          <w:bCs/>
          <w:color w:val="000000"/>
          <w:kern w:val="0"/>
          <w:sz w:val="22"/>
          <w:szCs w:val="32"/>
        </w:rPr>
      </w:pPr>
      <w:r>
        <w:rPr>
          <w:rFonts w:ascii="宋体" w:hAnsi="宋体"/>
          <w:bCs/>
          <w:color w:val="000000"/>
          <w:kern w:val="0"/>
          <w:sz w:val="22"/>
          <w:szCs w:val="32"/>
        </w:rPr>
        <w:t>4</w:t>
      </w:r>
      <w:r>
        <w:rPr>
          <w:rFonts w:hint="eastAsia" w:ascii="宋体" w:hAnsi="宋体"/>
          <w:bCs/>
          <w:color w:val="000000"/>
          <w:kern w:val="0"/>
          <w:sz w:val="22"/>
          <w:szCs w:val="32"/>
        </w:rPr>
        <w:t>、我方承诺：我方不得将本次竞价或合同的有关资料向第三方透露。</w:t>
      </w:r>
    </w:p>
    <w:p w14:paraId="19CEC389">
      <w:pPr>
        <w:spacing w:line="360" w:lineRule="auto"/>
        <w:jc w:val="left"/>
        <w:rPr>
          <w:rFonts w:ascii="宋体" w:hAnsi="宋体"/>
          <w:bCs/>
          <w:color w:val="000000"/>
          <w:kern w:val="0"/>
          <w:sz w:val="22"/>
          <w:szCs w:val="32"/>
        </w:rPr>
      </w:pPr>
      <w:r>
        <w:rPr>
          <w:rFonts w:ascii="宋体" w:hAnsi="宋体"/>
          <w:bCs/>
          <w:color w:val="000000"/>
          <w:kern w:val="0"/>
          <w:sz w:val="22"/>
          <w:szCs w:val="32"/>
        </w:rPr>
        <w:t>5</w:t>
      </w:r>
      <w:r>
        <w:rPr>
          <w:rFonts w:hint="eastAsia" w:ascii="宋体" w:hAnsi="宋体"/>
          <w:bCs/>
          <w:color w:val="000000"/>
          <w:kern w:val="0"/>
          <w:sz w:val="22"/>
          <w:szCs w:val="32"/>
        </w:rPr>
        <w:t>、我方承诺：我方提交所有的内容均为属实，如有伪造、作假行为愿承担一切法律责任。</w:t>
      </w:r>
    </w:p>
    <w:p w14:paraId="2C3010AC">
      <w:pPr>
        <w:spacing w:line="360" w:lineRule="auto"/>
        <w:rPr>
          <w:rFonts w:ascii="宋体" w:hAnsi="宋体"/>
          <w:bCs/>
          <w:color w:val="000000"/>
          <w:kern w:val="0"/>
          <w:sz w:val="22"/>
          <w:szCs w:val="32"/>
        </w:rPr>
      </w:pPr>
      <w:r>
        <w:rPr>
          <w:rFonts w:hint="eastAsia" w:ascii="宋体" w:hAnsi="宋体"/>
          <w:bCs/>
          <w:color w:val="000000"/>
          <w:kern w:val="0"/>
          <w:sz w:val="22"/>
          <w:szCs w:val="32"/>
        </w:rPr>
        <w:t>6、我方承诺：我方非联合体投标；且不转包、不分包。</w:t>
      </w:r>
    </w:p>
    <w:p w14:paraId="4AFC6F46">
      <w:pPr>
        <w:spacing w:line="360" w:lineRule="auto"/>
        <w:jc w:val="left"/>
        <w:rPr>
          <w:rFonts w:ascii="宋体" w:hAnsi="宋体"/>
          <w:bCs/>
          <w:color w:val="000000"/>
          <w:kern w:val="0"/>
          <w:sz w:val="22"/>
          <w:szCs w:val="32"/>
        </w:rPr>
      </w:pPr>
    </w:p>
    <w:p w14:paraId="5145B3A2">
      <w:pPr>
        <w:spacing w:line="360" w:lineRule="auto"/>
        <w:jc w:val="left"/>
        <w:rPr>
          <w:rFonts w:ascii="宋体" w:hAnsi="宋体"/>
          <w:bCs/>
          <w:color w:val="000000"/>
          <w:kern w:val="0"/>
          <w:sz w:val="22"/>
          <w:szCs w:val="32"/>
        </w:rPr>
      </w:pPr>
    </w:p>
    <w:p w14:paraId="7A093A92">
      <w:pPr>
        <w:spacing w:line="360" w:lineRule="auto"/>
        <w:jc w:val="left"/>
        <w:rPr>
          <w:rFonts w:ascii="宋体" w:hAnsi="宋体"/>
          <w:bCs/>
          <w:color w:val="000000"/>
          <w:kern w:val="0"/>
          <w:sz w:val="22"/>
          <w:szCs w:val="32"/>
        </w:rPr>
      </w:pPr>
    </w:p>
    <w:p w14:paraId="4F18E262">
      <w:pPr>
        <w:spacing w:line="360" w:lineRule="auto"/>
        <w:jc w:val="right"/>
        <w:rPr>
          <w:rFonts w:ascii="宋体" w:hAnsi="宋体"/>
          <w:bCs/>
          <w:color w:val="000000"/>
          <w:kern w:val="0"/>
          <w:sz w:val="22"/>
          <w:szCs w:val="32"/>
        </w:rPr>
      </w:pPr>
      <w:r>
        <w:rPr>
          <w:rFonts w:hint="eastAsia" w:ascii="宋体" w:hAnsi="宋体"/>
          <w:bCs/>
          <w:color w:val="000000"/>
          <w:kern w:val="0"/>
          <w:sz w:val="22"/>
          <w:szCs w:val="32"/>
        </w:rPr>
        <w:t>竞价人名称：______________________________（盖单位章）</w:t>
      </w:r>
    </w:p>
    <w:p w14:paraId="08B1A072">
      <w:pPr>
        <w:spacing w:line="360" w:lineRule="auto"/>
        <w:jc w:val="right"/>
        <w:rPr>
          <w:rFonts w:ascii="宋体" w:hAnsi="宋体"/>
          <w:bCs/>
          <w:color w:val="000000"/>
          <w:kern w:val="0"/>
          <w:sz w:val="22"/>
          <w:szCs w:val="32"/>
        </w:rPr>
      </w:pPr>
      <w:r>
        <w:rPr>
          <w:rFonts w:hint="eastAsia" w:ascii="宋体" w:hAnsi="宋体"/>
          <w:bCs/>
          <w:color w:val="000000"/>
          <w:kern w:val="0"/>
          <w:sz w:val="22"/>
          <w:szCs w:val="32"/>
        </w:rPr>
        <w:t>日期：       年    月    日</w:t>
      </w:r>
    </w:p>
    <w:p w14:paraId="2164FCE6">
      <w:pPr>
        <w:spacing w:line="360" w:lineRule="auto"/>
        <w:jc w:val="left"/>
        <w:rPr>
          <w:rFonts w:ascii="宋体" w:hAnsi="宋体"/>
          <w:bCs/>
          <w:color w:val="000000"/>
          <w:kern w:val="0"/>
          <w:sz w:val="22"/>
          <w:szCs w:val="32"/>
        </w:rPr>
      </w:pPr>
    </w:p>
    <w:p w14:paraId="3A46C1F8">
      <w:pPr>
        <w:pStyle w:val="22"/>
        <w:snapToGrid w:val="0"/>
        <w:spacing w:before="120" w:beforeLines="50" w:after="0"/>
        <w:ind w:left="0" w:leftChars="0"/>
        <w:jc w:val="left"/>
        <w:rPr>
          <w:rFonts w:ascii="宋体" w:hAnsi="宋体"/>
          <w:b/>
          <w:color w:val="000000"/>
          <w:sz w:val="36"/>
        </w:rPr>
      </w:pPr>
    </w:p>
    <w:p w14:paraId="478C2CB2">
      <w:pPr>
        <w:pStyle w:val="22"/>
        <w:snapToGrid w:val="0"/>
        <w:spacing w:before="120" w:beforeLines="50" w:after="0"/>
        <w:ind w:left="0" w:leftChars="0"/>
        <w:jc w:val="left"/>
        <w:rPr>
          <w:rFonts w:ascii="宋体" w:hAnsi="宋体"/>
          <w:b/>
          <w:color w:val="000000"/>
          <w:sz w:val="36"/>
        </w:rPr>
        <w:sectPr>
          <w:footerReference r:id="rId9" w:type="default"/>
          <w:pgSz w:w="11907" w:h="16840"/>
          <w:pgMar w:top="1361" w:right="1361" w:bottom="1361" w:left="1304" w:header="794" w:footer="794" w:gutter="0"/>
          <w:cols w:space="720" w:num="1"/>
          <w:docGrid w:linePitch="285" w:charSpace="0"/>
        </w:sectPr>
      </w:pPr>
    </w:p>
    <w:p w14:paraId="679B8E31">
      <w:pPr>
        <w:pStyle w:val="3"/>
      </w:pPr>
      <w:r>
        <w:rPr>
          <w:rFonts w:hint="eastAsia"/>
        </w:rPr>
        <w:t>2、法定代表人身份证明</w:t>
      </w:r>
    </w:p>
    <w:p w14:paraId="55AACC5C">
      <w:pPr>
        <w:spacing w:line="360" w:lineRule="auto"/>
        <w:rPr>
          <w:rFonts w:ascii="宋体" w:hAnsi="宋体"/>
          <w:bCs/>
          <w:color w:val="000000"/>
          <w:sz w:val="22"/>
          <w:u w:val="single"/>
        </w:rPr>
      </w:pPr>
      <w:r>
        <w:rPr>
          <w:rFonts w:ascii="宋体" w:hAnsi="宋体"/>
          <w:bCs/>
          <w:color w:val="000000"/>
          <w:sz w:val="22"/>
        </w:rPr>
        <w:t>单位名称：</w:t>
      </w:r>
      <w:r>
        <w:rPr>
          <w:rFonts w:ascii="宋体" w:hAnsi="宋体"/>
          <w:bCs/>
          <w:color w:val="000000"/>
          <w:sz w:val="22"/>
          <w:u w:val="single"/>
        </w:rPr>
        <w:t xml:space="preserve">                          </w:t>
      </w:r>
    </w:p>
    <w:p w14:paraId="146EC81B">
      <w:pPr>
        <w:spacing w:line="360" w:lineRule="auto"/>
        <w:rPr>
          <w:rFonts w:ascii="宋体" w:hAnsi="宋体"/>
          <w:bCs/>
          <w:color w:val="000000"/>
          <w:sz w:val="22"/>
          <w:u w:val="single"/>
        </w:rPr>
      </w:pPr>
      <w:r>
        <w:rPr>
          <w:rFonts w:ascii="宋体" w:hAnsi="宋体"/>
          <w:bCs/>
          <w:color w:val="000000"/>
          <w:sz w:val="22"/>
        </w:rPr>
        <w:t>单位地址：</w:t>
      </w:r>
      <w:r>
        <w:rPr>
          <w:rFonts w:ascii="宋体" w:hAnsi="宋体"/>
          <w:bCs/>
          <w:color w:val="000000"/>
          <w:sz w:val="22"/>
          <w:u w:val="single"/>
        </w:rPr>
        <w:t xml:space="preserve">                          </w:t>
      </w:r>
    </w:p>
    <w:p w14:paraId="78FF6FC0">
      <w:pPr>
        <w:spacing w:line="360" w:lineRule="auto"/>
        <w:rPr>
          <w:rFonts w:ascii="宋体" w:hAnsi="宋体"/>
          <w:bCs/>
          <w:color w:val="000000"/>
          <w:sz w:val="22"/>
        </w:rPr>
      </w:pPr>
      <w:r>
        <w:rPr>
          <w:rFonts w:ascii="宋体" w:hAnsi="宋体"/>
          <w:bCs/>
          <w:color w:val="000000"/>
          <w:sz w:val="22"/>
        </w:rPr>
        <w:t>成立时间：</w:t>
      </w:r>
      <w:r>
        <w:rPr>
          <w:rFonts w:ascii="宋体" w:hAnsi="宋体"/>
          <w:bCs/>
          <w:color w:val="000000"/>
          <w:sz w:val="22"/>
          <w:u w:val="single"/>
        </w:rPr>
        <w:t xml:space="preserve">               </w:t>
      </w:r>
      <w:r>
        <w:rPr>
          <w:rFonts w:ascii="宋体" w:hAnsi="宋体"/>
          <w:bCs/>
          <w:color w:val="000000"/>
          <w:sz w:val="22"/>
        </w:rPr>
        <w:t>年</w:t>
      </w:r>
      <w:r>
        <w:rPr>
          <w:rFonts w:ascii="宋体" w:hAnsi="宋体"/>
          <w:bCs/>
          <w:color w:val="000000"/>
          <w:sz w:val="22"/>
          <w:u w:val="single"/>
        </w:rPr>
        <w:t xml:space="preserve">            </w:t>
      </w:r>
      <w:r>
        <w:rPr>
          <w:rFonts w:ascii="宋体" w:hAnsi="宋体"/>
          <w:bCs/>
          <w:color w:val="000000"/>
          <w:sz w:val="22"/>
        </w:rPr>
        <w:t>月</w:t>
      </w:r>
      <w:r>
        <w:rPr>
          <w:rFonts w:ascii="宋体" w:hAnsi="宋体"/>
          <w:bCs/>
          <w:color w:val="000000"/>
          <w:sz w:val="22"/>
          <w:u w:val="single"/>
        </w:rPr>
        <w:t xml:space="preserve">           </w:t>
      </w:r>
      <w:r>
        <w:rPr>
          <w:rFonts w:ascii="宋体" w:hAnsi="宋体"/>
          <w:bCs/>
          <w:color w:val="000000"/>
          <w:sz w:val="22"/>
        </w:rPr>
        <w:t>日</w:t>
      </w:r>
    </w:p>
    <w:p w14:paraId="7A6EFE93">
      <w:pPr>
        <w:spacing w:line="360" w:lineRule="auto"/>
        <w:rPr>
          <w:rFonts w:ascii="宋体" w:hAnsi="宋体"/>
          <w:bCs/>
          <w:color w:val="000000"/>
          <w:sz w:val="22"/>
          <w:u w:val="single"/>
        </w:rPr>
      </w:pPr>
      <w:r>
        <w:rPr>
          <w:rFonts w:ascii="宋体" w:hAnsi="宋体"/>
          <w:bCs/>
          <w:color w:val="000000"/>
          <w:sz w:val="22"/>
        </w:rPr>
        <w:t>经营期限：</w:t>
      </w:r>
      <w:r>
        <w:rPr>
          <w:rFonts w:ascii="宋体" w:hAnsi="宋体"/>
          <w:bCs/>
          <w:color w:val="000000"/>
          <w:sz w:val="22"/>
          <w:u w:val="single"/>
        </w:rPr>
        <w:t xml:space="preserve">                                          </w:t>
      </w:r>
    </w:p>
    <w:p w14:paraId="0F2947EA">
      <w:pPr>
        <w:spacing w:line="360" w:lineRule="auto"/>
        <w:rPr>
          <w:rFonts w:ascii="宋体" w:hAnsi="宋体"/>
          <w:bCs/>
          <w:color w:val="000000"/>
          <w:sz w:val="22"/>
          <w:u w:val="single"/>
        </w:rPr>
      </w:pPr>
      <w:r>
        <w:rPr>
          <w:rFonts w:ascii="宋体" w:hAnsi="宋体"/>
          <w:bCs/>
          <w:color w:val="000000"/>
          <w:sz w:val="22"/>
        </w:rPr>
        <w:t>姓名：</w:t>
      </w:r>
      <w:r>
        <w:rPr>
          <w:rFonts w:ascii="宋体" w:hAnsi="宋体"/>
          <w:bCs/>
          <w:color w:val="000000"/>
          <w:sz w:val="22"/>
          <w:u w:val="single"/>
        </w:rPr>
        <w:t xml:space="preserve">              </w:t>
      </w:r>
      <w:r>
        <w:rPr>
          <w:rFonts w:ascii="宋体" w:hAnsi="宋体"/>
          <w:bCs/>
          <w:color w:val="000000"/>
          <w:sz w:val="22"/>
        </w:rPr>
        <w:t>性别：</w:t>
      </w:r>
      <w:r>
        <w:rPr>
          <w:rFonts w:ascii="宋体" w:hAnsi="宋体"/>
          <w:bCs/>
          <w:color w:val="000000"/>
          <w:sz w:val="22"/>
          <w:u w:val="single"/>
        </w:rPr>
        <w:t xml:space="preserve">             </w:t>
      </w:r>
      <w:r>
        <w:rPr>
          <w:rFonts w:ascii="宋体" w:hAnsi="宋体"/>
          <w:bCs/>
          <w:color w:val="000000"/>
          <w:sz w:val="22"/>
        </w:rPr>
        <w:t>年龄：</w:t>
      </w:r>
      <w:r>
        <w:rPr>
          <w:rFonts w:ascii="宋体" w:hAnsi="宋体"/>
          <w:bCs/>
          <w:color w:val="000000"/>
          <w:sz w:val="22"/>
          <w:u w:val="single"/>
        </w:rPr>
        <w:t xml:space="preserve">           </w:t>
      </w:r>
      <w:r>
        <w:rPr>
          <w:rFonts w:ascii="宋体" w:hAnsi="宋体"/>
          <w:bCs/>
          <w:color w:val="000000"/>
          <w:sz w:val="22"/>
        </w:rPr>
        <w:t>职务：</w:t>
      </w:r>
      <w:r>
        <w:rPr>
          <w:rFonts w:ascii="宋体" w:hAnsi="宋体"/>
          <w:bCs/>
          <w:color w:val="000000"/>
          <w:sz w:val="22"/>
          <w:u w:val="single"/>
        </w:rPr>
        <w:t xml:space="preserve">           </w:t>
      </w:r>
    </w:p>
    <w:p w14:paraId="3DB88EE2">
      <w:pPr>
        <w:spacing w:line="360" w:lineRule="auto"/>
        <w:rPr>
          <w:rFonts w:ascii="宋体" w:hAnsi="宋体"/>
          <w:bCs/>
          <w:color w:val="000000"/>
          <w:sz w:val="22"/>
          <w:u w:val="single"/>
        </w:rPr>
      </w:pPr>
      <w:r>
        <w:rPr>
          <w:rFonts w:ascii="宋体" w:hAnsi="宋体"/>
          <w:bCs/>
          <w:color w:val="000000"/>
          <w:sz w:val="22"/>
        </w:rPr>
        <w:t>身份证号码：</w:t>
      </w:r>
      <w:r>
        <w:rPr>
          <w:rFonts w:ascii="宋体" w:hAnsi="宋体"/>
          <w:bCs/>
          <w:color w:val="000000"/>
          <w:sz w:val="22"/>
          <w:u w:val="single"/>
        </w:rPr>
        <w:t xml:space="preserve">                        </w:t>
      </w:r>
    </w:p>
    <w:p w14:paraId="6C4E5AC0">
      <w:pPr>
        <w:spacing w:line="360" w:lineRule="auto"/>
        <w:rPr>
          <w:rFonts w:ascii="宋体" w:hAnsi="宋体"/>
          <w:bCs/>
          <w:color w:val="000000"/>
          <w:sz w:val="22"/>
        </w:rPr>
      </w:pPr>
      <w:r>
        <w:rPr>
          <w:rFonts w:ascii="宋体" w:hAnsi="宋体"/>
          <w:bCs/>
          <w:color w:val="000000"/>
          <w:sz w:val="22"/>
        </w:rPr>
        <w:t>系</w:t>
      </w:r>
      <w:r>
        <w:rPr>
          <w:rFonts w:ascii="宋体" w:hAnsi="宋体"/>
          <w:bCs/>
          <w:color w:val="000000"/>
          <w:sz w:val="22"/>
          <w:u w:val="single"/>
        </w:rPr>
        <w:t>（单位名称）</w:t>
      </w:r>
      <w:r>
        <w:rPr>
          <w:rFonts w:ascii="宋体" w:hAnsi="宋体"/>
          <w:bCs/>
          <w:color w:val="000000"/>
          <w:sz w:val="22"/>
        </w:rPr>
        <w:t>的法定代表人。</w:t>
      </w:r>
    </w:p>
    <w:p w14:paraId="14FC721C">
      <w:pPr>
        <w:spacing w:line="360" w:lineRule="auto"/>
        <w:rPr>
          <w:rFonts w:ascii="宋体" w:hAnsi="宋体"/>
          <w:bCs/>
          <w:color w:val="000000"/>
          <w:sz w:val="22"/>
        </w:rPr>
      </w:pPr>
      <w:r>
        <w:rPr>
          <w:rFonts w:ascii="宋体" w:hAnsi="宋体"/>
          <w:bCs/>
          <w:color w:val="000000"/>
          <w:sz w:val="22"/>
        </w:rPr>
        <w:t>特此证明</w:t>
      </w:r>
    </w:p>
    <w:p w14:paraId="33B2677A">
      <w:pPr>
        <w:spacing w:line="360" w:lineRule="auto"/>
        <w:rPr>
          <w:rFonts w:ascii="宋体" w:hAnsi="宋体"/>
          <w:bCs/>
          <w:color w:val="000000"/>
          <w:sz w:val="22"/>
        </w:rPr>
      </w:pPr>
    </w:p>
    <w:tbl>
      <w:tblPr>
        <w:tblStyle w:val="5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37F4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979" w:type="dxa"/>
            <w:vAlign w:val="center"/>
          </w:tcPr>
          <w:p w14:paraId="5E387BD9">
            <w:pPr>
              <w:spacing w:line="360" w:lineRule="auto"/>
              <w:ind w:left="-55"/>
              <w:jc w:val="center"/>
              <w:rPr>
                <w:rFonts w:ascii="宋体" w:hAnsi="宋体"/>
                <w:bCs/>
                <w:color w:val="000000"/>
                <w:sz w:val="22"/>
              </w:rPr>
            </w:pPr>
            <w:r>
              <w:rPr>
                <w:rFonts w:hint="eastAsia" w:ascii="宋体" w:hAnsi="宋体"/>
                <w:bCs/>
                <w:color w:val="000000"/>
                <w:sz w:val="22"/>
              </w:rPr>
              <w:t>法定代表人身份证正、反两面复印件粘贴区域</w:t>
            </w:r>
          </w:p>
        </w:tc>
      </w:tr>
    </w:tbl>
    <w:p w14:paraId="2D801A53">
      <w:pPr>
        <w:spacing w:line="360" w:lineRule="auto"/>
        <w:rPr>
          <w:rFonts w:ascii="宋体" w:hAnsi="宋体"/>
          <w:bCs/>
          <w:color w:val="000000"/>
          <w:sz w:val="22"/>
        </w:rPr>
      </w:pPr>
    </w:p>
    <w:p w14:paraId="267EA690">
      <w:pPr>
        <w:spacing w:line="360" w:lineRule="auto"/>
        <w:rPr>
          <w:rFonts w:ascii="宋体" w:hAnsi="宋体"/>
          <w:bCs/>
          <w:color w:val="000000"/>
          <w:sz w:val="22"/>
        </w:rPr>
      </w:pPr>
    </w:p>
    <w:p w14:paraId="63C8B5EE">
      <w:pPr>
        <w:spacing w:line="360" w:lineRule="auto"/>
        <w:ind w:firstLine="3520" w:firstLineChars="1600"/>
        <w:rPr>
          <w:rFonts w:ascii="宋体" w:hAnsi="宋体"/>
          <w:bCs/>
          <w:color w:val="000000"/>
          <w:sz w:val="22"/>
        </w:rPr>
      </w:pPr>
      <w:r>
        <w:rPr>
          <w:rFonts w:hint="eastAsia" w:ascii="宋体" w:hAnsi="宋体"/>
          <w:bCs/>
          <w:color w:val="000000"/>
          <w:sz w:val="22"/>
        </w:rPr>
        <w:t>竞价人名称</w:t>
      </w:r>
      <w:r>
        <w:rPr>
          <w:rFonts w:ascii="宋体" w:hAnsi="宋体"/>
          <w:bCs/>
          <w:color w:val="000000"/>
          <w:sz w:val="22"/>
        </w:rPr>
        <w:t>：__________________（盖单位章）</w:t>
      </w:r>
    </w:p>
    <w:p w14:paraId="25F86093">
      <w:pPr>
        <w:spacing w:line="360" w:lineRule="auto"/>
        <w:rPr>
          <w:rFonts w:ascii="宋体" w:hAnsi="宋体"/>
          <w:color w:val="000000"/>
          <w:sz w:val="22"/>
        </w:rPr>
        <w:sectPr>
          <w:pgSz w:w="11907" w:h="16840"/>
          <w:pgMar w:top="1361" w:right="1361" w:bottom="1361" w:left="1304" w:header="794" w:footer="794" w:gutter="0"/>
          <w:cols w:space="720" w:num="1"/>
          <w:docGrid w:linePitch="285" w:charSpace="0"/>
        </w:sectPr>
      </w:pPr>
      <w:r>
        <w:rPr>
          <w:rFonts w:ascii="宋体" w:hAnsi="宋体"/>
          <w:color w:val="000000"/>
          <w:sz w:val="22"/>
        </w:rPr>
        <w:t xml:space="preserve">                                  </w:t>
      </w:r>
      <w:r>
        <w:rPr>
          <w:rFonts w:ascii="宋体" w:hAnsi="宋体"/>
          <w:color w:val="000000"/>
          <w:sz w:val="22"/>
          <w:u w:val="single"/>
        </w:rPr>
        <w:t xml:space="preserve">       </w:t>
      </w:r>
      <w:r>
        <w:rPr>
          <w:rFonts w:ascii="宋体" w:hAnsi="宋体"/>
          <w:color w:val="000000"/>
          <w:sz w:val="22"/>
        </w:rPr>
        <w:t>年</w:t>
      </w:r>
      <w:r>
        <w:rPr>
          <w:rFonts w:ascii="宋体" w:hAnsi="宋体"/>
          <w:color w:val="000000"/>
          <w:sz w:val="22"/>
          <w:u w:val="single"/>
        </w:rPr>
        <w:t xml:space="preserve">    </w:t>
      </w:r>
      <w:r>
        <w:rPr>
          <w:rFonts w:ascii="宋体" w:hAnsi="宋体"/>
          <w:color w:val="000000"/>
          <w:sz w:val="22"/>
        </w:rPr>
        <w:t>月</w:t>
      </w:r>
      <w:bookmarkStart w:id="12" w:name="_Toc192354897"/>
      <w:bookmarkStart w:id="13" w:name="_Toc196154010"/>
      <w:bookmarkStart w:id="14" w:name="_Toc196153911"/>
      <w:bookmarkStart w:id="15" w:name="_Toc224619354"/>
      <w:bookmarkStart w:id="16" w:name="_Toc196153712"/>
      <w:bookmarkStart w:id="17" w:name="_Toc193268556"/>
      <w:bookmarkStart w:id="18" w:name="_Toc229558402"/>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日</w:t>
      </w:r>
    </w:p>
    <w:bookmarkEnd w:id="12"/>
    <w:bookmarkEnd w:id="13"/>
    <w:bookmarkEnd w:id="14"/>
    <w:bookmarkEnd w:id="15"/>
    <w:bookmarkEnd w:id="16"/>
    <w:bookmarkEnd w:id="17"/>
    <w:bookmarkEnd w:id="18"/>
    <w:p w14:paraId="449DBD92">
      <w:pPr>
        <w:pStyle w:val="3"/>
      </w:pPr>
      <w:r>
        <w:t>3</w:t>
      </w:r>
      <w:r>
        <w:rPr>
          <w:rFonts w:hint="eastAsia"/>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68888708">
      <w:pPr>
        <w:widowControl/>
        <w:jc w:val="left"/>
        <w:rPr>
          <w:kern w:val="0"/>
          <w:szCs w:val="20"/>
        </w:rPr>
      </w:pPr>
      <w:r>
        <w:br w:type="page"/>
      </w:r>
    </w:p>
    <w:p w14:paraId="3FE0371C">
      <w:pPr>
        <w:keepNext/>
        <w:keepLines/>
        <w:tabs>
          <w:tab w:val="left" w:pos="180"/>
          <w:tab w:val="left" w:pos="360"/>
        </w:tabs>
        <w:adjustRightInd w:val="0"/>
        <w:spacing w:before="240" w:line="360" w:lineRule="auto"/>
        <w:ind w:right="840" w:rightChars="400"/>
        <w:jc w:val="left"/>
        <w:outlineLvl w:val="1"/>
        <w:rPr>
          <w:rFonts w:ascii="宋体" w:hAnsi="Arial"/>
          <w:b/>
          <w:kern w:val="0"/>
          <w:sz w:val="28"/>
          <w:szCs w:val="20"/>
        </w:rPr>
      </w:pPr>
      <w:bookmarkStart w:id="19" w:name="_Toc192779535"/>
      <w:r>
        <w:rPr>
          <w:rFonts w:hint="eastAsia" w:ascii="宋体" w:hAnsi="Arial"/>
          <w:b/>
          <w:kern w:val="0"/>
          <w:sz w:val="28"/>
          <w:szCs w:val="20"/>
        </w:rPr>
        <w:t>4、</w:t>
      </w:r>
      <w:bookmarkStart w:id="20" w:name="_Hlk192514359"/>
      <w:r>
        <w:rPr>
          <w:rFonts w:hint="eastAsia" w:ascii="宋体" w:hAnsi="Arial"/>
          <w:b/>
          <w:kern w:val="0"/>
          <w:sz w:val="28"/>
          <w:szCs w:val="20"/>
        </w:rPr>
        <w:t>（</w:t>
      </w:r>
      <w:bookmarkStart w:id="21" w:name="_Hlk192514309"/>
      <w:r>
        <w:rPr>
          <w:rFonts w:hint="eastAsia" w:ascii="宋体" w:hAnsi="Arial"/>
          <w:b/>
          <w:kern w:val="0"/>
          <w:sz w:val="28"/>
          <w:szCs w:val="20"/>
        </w:rPr>
        <w:t>★号条款</w:t>
      </w:r>
      <w:bookmarkEnd w:id="21"/>
      <w:r>
        <w:rPr>
          <w:rFonts w:hint="eastAsia" w:ascii="宋体" w:hAnsi="Arial"/>
          <w:b/>
          <w:kern w:val="0"/>
          <w:sz w:val="28"/>
          <w:szCs w:val="20"/>
        </w:rPr>
        <w:t>）实质性响应/偏离表</w:t>
      </w:r>
      <w:bookmarkEnd w:id="19"/>
      <w:bookmarkEnd w:id="20"/>
    </w:p>
    <w:p w14:paraId="17AF05D1">
      <w:pPr>
        <w:spacing w:line="420" w:lineRule="exact"/>
        <w:ind w:firstLine="420" w:firstLineChars="200"/>
        <w:rPr>
          <w:rFonts w:ascii="宋体" w:hAnsi="宋体"/>
          <w:color w:val="000000"/>
          <w:szCs w:val="21"/>
          <w:u w:val="single"/>
        </w:rPr>
      </w:pPr>
      <w:r>
        <w:rPr>
          <w:rFonts w:hint="eastAsia" w:ascii="宋体" w:hAnsi="宋体"/>
          <w:color w:val="000000"/>
          <w:szCs w:val="21"/>
        </w:rPr>
        <w:t>竞价人名称：</w:t>
      </w:r>
      <w:r>
        <w:rPr>
          <w:rFonts w:hint="eastAsia" w:ascii="宋体" w:hAnsi="宋体"/>
          <w:color w:val="000000"/>
          <w:szCs w:val="21"/>
          <w:u w:val="single"/>
        </w:rPr>
        <w:t xml:space="preserve">        （盖章）</w:t>
      </w:r>
    </w:p>
    <w:p w14:paraId="307ED1D5">
      <w:pPr>
        <w:spacing w:line="420" w:lineRule="exact"/>
        <w:ind w:firstLine="420" w:firstLineChars="200"/>
        <w:rPr>
          <w:rFonts w:ascii="宋体" w:hAnsi="宋体"/>
          <w:color w:val="000000"/>
          <w:szCs w:val="21"/>
        </w:rPr>
      </w:pPr>
      <w:r>
        <w:rPr>
          <w:rFonts w:hint="eastAsia" w:ascii="宋体" w:hAnsi="宋体"/>
          <w:color w:val="000000"/>
          <w:szCs w:val="21"/>
        </w:rPr>
        <w:t>项目名称：陆丰分公司数字电视平台统一项目（软件）</w:t>
      </w:r>
    </w:p>
    <w:p w14:paraId="0C44A6FB">
      <w:pPr>
        <w:spacing w:after="312" w:afterLines="100" w:line="420" w:lineRule="exact"/>
        <w:ind w:firstLine="420" w:firstLineChars="200"/>
        <w:rPr>
          <w:rFonts w:ascii="宋体" w:hAnsi="宋体"/>
          <w:b/>
          <w:bCs/>
          <w:szCs w:val="21"/>
        </w:rPr>
      </w:pPr>
      <w:r>
        <w:rPr>
          <w:rFonts w:hint="eastAsia" w:ascii="宋体" w:hAnsi="宋体"/>
          <w:color w:val="000000"/>
          <w:szCs w:val="21"/>
        </w:rPr>
        <w:t>采购项目编号：</w:t>
      </w:r>
      <w:r>
        <w:rPr>
          <w:rFonts w:ascii="宋体" w:hAnsi="宋体"/>
          <w:color w:val="000000"/>
          <w:szCs w:val="21"/>
        </w:rPr>
        <w:t>04-06-04H-2025-D-E11740</w:t>
      </w:r>
    </w:p>
    <w:tbl>
      <w:tblPr>
        <w:tblStyle w:val="5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08"/>
        <w:gridCol w:w="3512"/>
        <w:gridCol w:w="2310"/>
        <w:gridCol w:w="1515"/>
      </w:tblGrid>
      <w:tr w14:paraId="4845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40C6B36A">
            <w:pPr>
              <w:spacing w:line="420" w:lineRule="exact"/>
              <w:ind w:right="-139" w:rightChars="-66"/>
              <w:jc w:val="center"/>
              <w:rPr>
                <w:rFonts w:ascii="宋体" w:hAnsi="宋体"/>
                <w:color w:val="000000"/>
                <w:szCs w:val="21"/>
              </w:rPr>
            </w:pPr>
            <w:r>
              <w:rPr>
                <w:rFonts w:hint="eastAsia" w:ascii="宋体" w:hAnsi="宋体"/>
                <w:color w:val="000000"/>
                <w:szCs w:val="21"/>
              </w:rPr>
              <w:t>序号</w:t>
            </w:r>
          </w:p>
        </w:tc>
        <w:tc>
          <w:tcPr>
            <w:tcW w:w="1108" w:type="dxa"/>
            <w:vAlign w:val="center"/>
          </w:tcPr>
          <w:p w14:paraId="21DDC73F">
            <w:pPr>
              <w:spacing w:line="420" w:lineRule="exact"/>
              <w:ind w:leftChars="-67" w:hanging="140" w:hangingChars="67"/>
              <w:jc w:val="center"/>
              <w:rPr>
                <w:rFonts w:ascii="宋体" w:hAnsi="宋体"/>
                <w:color w:val="000000"/>
                <w:szCs w:val="21"/>
              </w:rPr>
            </w:pPr>
            <w:r>
              <w:rPr>
                <w:rFonts w:hint="eastAsia" w:ascii="宋体" w:hAnsi="宋体"/>
                <w:color w:val="000000"/>
                <w:szCs w:val="21"/>
              </w:rPr>
              <w:t>竞价文件条目号</w:t>
            </w:r>
          </w:p>
        </w:tc>
        <w:tc>
          <w:tcPr>
            <w:tcW w:w="3512" w:type="dxa"/>
            <w:vAlign w:val="center"/>
          </w:tcPr>
          <w:p w14:paraId="54317847">
            <w:pPr>
              <w:spacing w:line="420" w:lineRule="exact"/>
              <w:ind w:leftChars="-67" w:hanging="140" w:hangingChars="67"/>
              <w:jc w:val="center"/>
              <w:rPr>
                <w:rFonts w:ascii="宋体" w:hAnsi="宋体"/>
                <w:color w:val="000000"/>
                <w:szCs w:val="21"/>
              </w:rPr>
            </w:pPr>
            <w:r>
              <w:rPr>
                <w:rFonts w:hint="eastAsia" w:ascii="宋体" w:hAnsi="宋体"/>
                <w:color w:val="000000"/>
                <w:szCs w:val="21"/>
              </w:rPr>
              <w:t>竞价文件</w:t>
            </w:r>
          </w:p>
        </w:tc>
        <w:tc>
          <w:tcPr>
            <w:tcW w:w="2310" w:type="dxa"/>
            <w:vAlign w:val="center"/>
          </w:tcPr>
          <w:p w14:paraId="08E02512">
            <w:pPr>
              <w:spacing w:line="420" w:lineRule="exact"/>
              <w:ind w:leftChars="-67" w:hanging="140" w:hangingChars="67"/>
              <w:jc w:val="center"/>
              <w:rPr>
                <w:rFonts w:ascii="宋体" w:hAnsi="宋体"/>
                <w:color w:val="000000"/>
                <w:szCs w:val="21"/>
              </w:rPr>
            </w:pPr>
            <w:r>
              <w:rPr>
                <w:rFonts w:hint="eastAsia" w:ascii="宋体" w:hAnsi="宋体"/>
                <w:color w:val="000000"/>
                <w:szCs w:val="21"/>
              </w:rPr>
              <w:t>应答</w:t>
            </w:r>
          </w:p>
        </w:tc>
        <w:tc>
          <w:tcPr>
            <w:tcW w:w="1515" w:type="dxa"/>
            <w:vAlign w:val="center"/>
          </w:tcPr>
          <w:p w14:paraId="19FADEE3">
            <w:pPr>
              <w:spacing w:line="420" w:lineRule="exact"/>
              <w:ind w:leftChars="-67" w:hanging="140" w:hangingChars="67"/>
              <w:jc w:val="center"/>
              <w:rPr>
                <w:rFonts w:ascii="宋体" w:hAnsi="宋体"/>
                <w:color w:val="000000"/>
                <w:szCs w:val="21"/>
              </w:rPr>
            </w:pPr>
            <w:r>
              <w:rPr>
                <w:rFonts w:hint="eastAsia" w:ascii="宋体" w:hAnsi="宋体"/>
                <w:color w:val="000000"/>
                <w:szCs w:val="21"/>
              </w:rPr>
              <w:t>说明</w:t>
            </w:r>
          </w:p>
        </w:tc>
      </w:tr>
      <w:tr w14:paraId="534B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2762C189">
            <w:pPr>
              <w:spacing w:line="420" w:lineRule="exact"/>
              <w:jc w:val="center"/>
              <w:rPr>
                <w:rFonts w:ascii="宋体" w:hAnsi="宋体"/>
                <w:color w:val="000000"/>
                <w:szCs w:val="21"/>
              </w:rPr>
            </w:pPr>
          </w:p>
        </w:tc>
        <w:tc>
          <w:tcPr>
            <w:tcW w:w="1108" w:type="dxa"/>
            <w:vAlign w:val="center"/>
          </w:tcPr>
          <w:p w14:paraId="12A773F9">
            <w:pPr>
              <w:spacing w:line="420" w:lineRule="exact"/>
              <w:rPr>
                <w:rFonts w:ascii="宋体" w:hAnsi="宋体"/>
                <w:color w:val="000000"/>
                <w:szCs w:val="21"/>
              </w:rPr>
            </w:pPr>
          </w:p>
        </w:tc>
        <w:tc>
          <w:tcPr>
            <w:tcW w:w="3512" w:type="dxa"/>
            <w:vAlign w:val="center"/>
          </w:tcPr>
          <w:p w14:paraId="3D18CAB5">
            <w:pPr>
              <w:spacing w:line="420" w:lineRule="exact"/>
              <w:ind w:firstLine="420" w:firstLineChars="200"/>
              <w:jc w:val="center"/>
              <w:rPr>
                <w:rFonts w:ascii="宋体" w:hAnsi="宋体"/>
                <w:color w:val="000000"/>
                <w:szCs w:val="21"/>
              </w:rPr>
            </w:pPr>
          </w:p>
        </w:tc>
        <w:tc>
          <w:tcPr>
            <w:tcW w:w="2310" w:type="dxa"/>
            <w:vAlign w:val="center"/>
          </w:tcPr>
          <w:p w14:paraId="7B2564E1">
            <w:pPr>
              <w:spacing w:line="420" w:lineRule="exact"/>
              <w:ind w:firstLine="420" w:firstLineChars="200"/>
              <w:jc w:val="center"/>
              <w:rPr>
                <w:rFonts w:ascii="宋体" w:hAnsi="宋体"/>
                <w:color w:val="000000"/>
                <w:szCs w:val="21"/>
              </w:rPr>
            </w:pPr>
          </w:p>
        </w:tc>
        <w:tc>
          <w:tcPr>
            <w:tcW w:w="1515" w:type="dxa"/>
            <w:vAlign w:val="center"/>
          </w:tcPr>
          <w:p w14:paraId="649C17DA">
            <w:pPr>
              <w:spacing w:line="420" w:lineRule="exact"/>
              <w:rPr>
                <w:rFonts w:ascii="宋体" w:hAnsi="宋体"/>
                <w:color w:val="000000"/>
                <w:szCs w:val="21"/>
              </w:rPr>
            </w:pPr>
          </w:p>
        </w:tc>
      </w:tr>
      <w:tr w14:paraId="68D2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24BB5E75">
            <w:pPr>
              <w:spacing w:line="420" w:lineRule="exact"/>
              <w:jc w:val="center"/>
              <w:rPr>
                <w:rFonts w:ascii="宋体" w:hAnsi="宋体"/>
                <w:color w:val="000000"/>
                <w:szCs w:val="21"/>
              </w:rPr>
            </w:pPr>
          </w:p>
        </w:tc>
        <w:tc>
          <w:tcPr>
            <w:tcW w:w="1108" w:type="dxa"/>
            <w:vAlign w:val="center"/>
          </w:tcPr>
          <w:p w14:paraId="43236354">
            <w:pPr>
              <w:spacing w:line="420" w:lineRule="exact"/>
              <w:rPr>
                <w:rFonts w:ascii="宋体" w:hAnsi="宋体"/>
                <w:color w:val="000000"/>
                <w:szCs w:val="21"/>
              </w:rPr>
            </w:pPr>
          </w:p>
        </w:tc>
        <w:tc>
          <w:tcPr>
            <w:tcW w:w="3512" w:type="dxa"/>
            <w:vAlign w:val="center"/>
          </w:tcPr>
          <w:p w14:paraId="3FA66987">
            <w:pPr>
              <w:spacing w:line="420" w:lineRule="exact"/>
              <w:ind w:firstLine="420" w:firstLineChars="200"/>
              <w:jc w:val="center"/>
              <w:rPr>
                <w:rFonts w:ascii="宋体" w:hAnsi="宋体"/>
                <w:color w:val="000000"/>
                <w:szCs w:val="21"/>
              </w:rPr>
            </w:pPr>
          </w:p>
        </w:tc>
        <w:tc>
          <w:tcPr>
            <w:tcW w:w="2310" w:type="dxa"/>
            <w:vAlign w:val="center"/>
          </w:tcPr>
          <w:p w14:paraId="6E2B3BFA">
            <w:pPr>
              <w:spacing w:line="420" w:lineRule="exact"/>
              <w:ind w:firstLine="420" w:firstLineChars="200"/>
              <w:jc w:val="center"/>
              <w:rPr>
                <w:rFonts w:ascii="宋体" w:hAnsi="宋体"/>
                <w:color w:val="000000"/>
                <w:szCs w:val="21"/>
              </w:rPr>
            </w:pPr>
          </w:p>
        </w:tc>
        <w:tc>
          <w:tcPr>
            <w:tcW w:w="1515" w:type="dxa"/>
            <w:vAlign w:val="center"/>
          </w:tcPr>
          <w:p w14:paraId="0BA8E128">
            <w:pPr>
              <w:spacing w:line="420" w:lineRule="exact"/>
              <w:rPr>
                <w:rFonts w:ascii="宋体" w:hAnsi="宋体"/>
                <w:color w:val="000000"/>
                <w:szCs w:val="21"/>
              </w:rPr>
            </w:pPr>
          </w:p>
        </w:tc>
      </w:tr>
      <w:tr w14:paraId="5141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6BE2726E">
            <w:pPr>
              <w:spacing w:line="420" w:lineRule="exact"/>
              <w:jc w:val="center"/>
              <w:rPr>
                <w:rFonts w:ascii="宋体" w:hAnsi="宋体"/>
                <w:color w:val="000000"/>
                <w:szCs w:val="21"/>
              </w:rPr>
            </w:pPr>
          </w:p>
        </w:tc>
        <w:tc>
          <w:tcPr>
            <w:tcW w:w="1108" w:type="dxa"/>
            <w:vAlign w:val="center"/>
          </w:tcPr>
          <w:p w14:paraId="694CE051">
            <w:pPr>
              <w:spacing w:line="420" w:lineRule="exact"/>
              <w:rPr>
                <w:rFonts w:ascii="宋体" w:hAnsi="宋体"/>
                <w:color w:val="000000"/>
                <w:szCs w:val="21"/>
              </w:rPr>
            </w:pPr>
          </w:p>
        </w:tc>
        <w:tc>
          <w:tcPr>
            <w:tcW w:w="3512" w:type="dxa"/>
            <w:vAlign w:val="center"/>
          </w:tcPr>
          <w:p w14:paraId="45467518">
            <w:pPr>
              <w:spacing w:line="420" w:lineRule="exact"/>
              <w:jc w:val="left"/>
              <w:rPr>
                <w:rFonts w:ascii="宋体" w:hAnsi="宋体"/>
                <w:color w:val="000000"/>
                <w:szCs w:val="21"/>
              </w:rPr>
            </w:pPr>
          </w:p>
        </w:tc>
        <w:tc>
          <w:tcPr>
            <w:tcW w:w="2310" w:type="dxa"/>
            <w:vAlign w:val="center"/>
          </w:tcPr>
          <w:p w14:paraId="3B06E240">
            <w:pPr>
              <w:spacing w:line="420" w:lineRule="exact"/>
              <w:ind w:firstLine="420" w:firstLineChars="200"/>
              <w:jc w:val="center"/>
              <w:rPr>
                <w:rFonts w:ascii="宋体" w:hAnsi="宋体"/>
                <w:color w:val="000000"/>
                <w:szCs w:val="21"/>
              </w:rPr>
            </w:pPr>
          </w:p>
        </w:tc>
        <w:tc>
          <w:tcPr>
            <w:tcW w:w="1515" w:type="dxa"/>
            <w:vAlign w:val="center"/>
          </w:tcPr>
          <w:p w14:paraId="12228480">
            <w:pPr>
              <w:spacing w:line="420" w:lineRule="exact"/>
              <w:ind w:firstLine="420" w:firstLineChars="200"/>
              <w:jc w:val="center"/>
              <w:rPr>
                <w:rFonts w:ascii="宋体" w:hAnsi="宋体"/>
                <w:color w:val="000000"/>
                <w:szCs w:val="21"/>
              </w:rPr>
            </w:pPr>
          </w:p>
        </w:tc>
      </w:tr>
      <w:tr w14:paraId="6CCE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6498568D">
            <w:pPr>
              <w:spacing w:line="420" w:lineRule="exact"/>
              <w:jc w:val="center"/>
              <w:rPr>
                <w:rFonts w:ascii="宋体" w:hAnsi="宋体"/>
                <w:color w:val="000000"/>
                <w:szCs w:val="21"/>
              </w:rPr>
            </w:pPr>
            <w:r>
              <w:rPr>
                <w:rFonts w:ascii="宋体" w:hAnsi="宋体"/>
                <w:color w:val="000000"/>
                <w:szCs w:val="21"/>
              </w:rPr>
              <w:t>…</w:t>
            </w:r>
          </w:p>
        </w:tc>
        <w:tc>
          <w:tcPr>
            <w:tcW w:w="1108" w:type="dxa"/>
            <w:vAlign w:val="center"/>
          </w:tcPr>
          <w:p w14:paraId="433D5935">
            <w:pPr>
              <w:spacing w:line="420" w:lineRule="exact"/>
              <w:rPr>
                <w:rFonts w:ascii="宋体" w:hAnsi="宋体"/>
                <w:color w:val="000000"/>
                <w:szCs w:val="21"/>
              </w:rPr>
            </w:pPr>
          </w:p>
        </w:tc>
        <w:tc>
          <w:tcPr>
            <w:tcW w:w="3512" w:type="dxa"/>
            <w:vAlign w:val="center"/>
          </w:tcPr>
          <w:p w14:paraId="23941501">
            <w:pPr>
              <w:spacing w:line="420" w:lineRule="exact"/>
              <w:jc w:val="left"/>
              <w:rPr>
                <w:rFonts w:ascii="宋体" w:hAnsi="宋体"/>
                <w:color w:val="000000"/>
                <w:szCs w:val="21"/>
              </w:rPr>
            </w:pPr>
          </w:p>
        </w:tc>
        <w:tc>
          <w:tcPr>
            <w:tcW w:w="2310" w:type="dxa"/>
            <w:vAlign w:val="center"/>
          </w:tcPr>
          <w:p w14:paraId="02F69D89">
            <w:pPr>
              <w:spacing w:line="420" w:lineRule="exact"/>
              <w:ind w:firstLine="420" w:firstLineChars="200"/>
              <w:jc w:val="center"/>
              <w:rPr>
                <w:rFonts w:ascii="宋体" w:hAnsi="宋体"/>
                <w:color w:val="000000"/>
                <w:szCs w:val="21"/>
              </w:rPr>
            </w:pPr>
          </w:p>
        </w:tc>
        <w:tc>
          <w:tcPr>
            <w:tcW w:w="1515" w:type="dxa"/>
            <w:vAlign w:val="center"/>
          </w:tcPr>
          <w:p w14:paraId="4A063FE6">
            <w:pPr>
              <w:spacing w:line="420" w:lineRule="exact"/>
              <w:ind w:firstLine="420" w:firstLineChars="200"/>
              <w:jc w:val="center"/>
              <w:rPr>
                <w:rFonts w:ascii="宋体" w:hAnsi="宋体"/>
                <w:color w:val="000000"/>
                <w:szCs w:val="21"/>
              </w:rPr>
            </w:pPr>
          </w:p>
        </w:tc>
      </w:tr>
    </w:tbl>
    <w:p w14:paraId="3F2FBEAF">
      <w:pPr>
        <w:spacing w:line="420" w:lineRule="exact"/>
        <w:rPr>
          <w:rFonts w:ascii="宋体" w:hAnsi="宋体"/>
          <w:bCs/>
          <w:color w:val="000000"/>
          <w:szCs w:val="21"/>
        </w:rPr>
      </w:pPr>
      <w:r>
        <w:rPr>
          <w:rFonts w:hint="eastAsia" w:ascii="宋体" w:hAnsi="宋体"/>
          <w:bCs/>
          <w:color w:val="000000"/>
          <w:szCs w:val="21"/>
        </w:rPr>
        <w:t>注：1、投标人对照“竞价文件★号条款”，作响应，如有优于竞价文件要求的条件或与竞价文件要求有偏差的条目应填写“（★号条款）实质性响应/偏离表”；如无偏差，则在“（★号条款）实质性响应/偏离表”中填写“无偏差”，并加盖公章。</w:t>
      </w:r>
    </w:p>
    <w:p w14:paraId="20136797">
      <w:pPr>
        <w:pStyle w:val="4"/>
      </w:pPr>
    </w:p>
    <w:p w14:paraId="3D654021">
      <w:pPr>
        <w:pStyle w:val="4"/>
      </w:pPr>
    </w:p>
    <w:p w14:paraId="5F69F1E2">
      <w:pPr>
        <w:widowControl/>
        <w:jc w:val="left"/>
        <w:rPr>
          <w:kern w:val="0"/>
          <w:szCs w:val="20"/>
        </w:rPr>
      </w:pPr>
      <w:r>
        <w:br w:type="page"/>
      </w:r>
    </w:p>
    <w:p w14:paraId="66917E49">
      <w:pPr>
        <w:pStyle w:val="3"/>
      </w:pPr>
      <w:r>
        <w:t>5</w:t>
      </w:r>
      <w:r>
        <w:rPr>
          <w:rFonts w:hint="eastAsia"/>
        </w:rPr>
        <w:t>、其他补充材料（如有）</w:t>
      </w:r>
    </w:p>
    <w:p w14:paraId="727E5F88">
      <w:pPr>
        <w:widowControl/>
        <w:jc w:val="left"/>
        <w:rPr>
          <w:rFonts w:ascii="宋体" w:hAnsi="宋体"/>
          <w:b/>
          <w:bCs/>
          <w:color w:val="000000"/>
          <w:kern w:val="0"/>
          <w:sz w:val="24"/>
          <w:szCs w:val="32"/>
        </w:rPr>
      </w:pPr>
      <w:r>
        <w:rPr>
          <w:rFonts w:ascii="宋体" w:hAnsi="宋体"/>
          <w:b/>
          <w:bCs/>
          <w:color w:val="000000"/>
          <w:kern w:val="0"/>
          <w:sz w:val="24"/>
          <w:szCs w:val="32"/>
        </w:rPr>
        <w:br w:type="page"/>
      </w:r>
    </w:p>
    <w:p w14:paraId="4C0F2CD7">
      <w:pPr>
        <w:jc w:val="center"/>
        <w:outlineLvl w:val="0"/>
        <w:rPr>
          <w:rFonts w:ascii="宋体" w:hAnsi="宋体"/>
          <w:b/>
          <w:color w:val="000000"/>
          <w:sz w:val="44"/>
          <w:szCs w:val="44"/>
          <w:lang w:val="zh-CN"/>
        </w:rPr>
      </w:pPr>
      <w:bookmarkStart w:id="22" w:name="_Toc91236015"/>
      <w:r>
        <w:rPr>
          <w:rFonts w:hint="eastAsia" w:ascii="宋体" w:hAnsi="宋体"/>
          <w:b/>
          <w:color w:val="000000"/>
          <w:sz w:val="36"/>
          <w:szCs w:val="36"/>
          <w:lang w:val="zh-CN"/>
        </w:rPr>
        <w:t>第二部分 采购项目</w:t>
      </w:r>
      <w:r>
        <w:rPr>
          <w:rFonts w:ascii="宋体" w:hAnsi="宋体"/>
          <w:b/>
          <w:color w:val="000000"/>
          <w:sz w:val="36"/>
          <w:szCs w:val="36"/>
          <w:lang w:val="zh-CN"/>
        </w:rPr>
        <w:t>内容</w:t>
      </w:r>
      <w:bookmarkEnd w:id="22"/>
    </w:p>
    <w:p w14:paraId="7D380759">
      <w:pPr>
        <w:widowControl/>
        <w:spacing w:line="360" w:lineRule="auto"/>
        <w:ind w:firstLine="482" w:firstLineChars="200"/>
        <w:jc w:val="left"/>
        <w:rPr>
          <w:rFonts w:asciiTheme="minorEastAsia" w:hAnsiTheme="minorEastAsia" w:eastAsiaTheme="minorEastAsia"/>
          <w:b/>
          <w:color w:val="000000"/>
          <w:sz w:val="24"/>
          <w:lang w:val="zh-CN"/>
        </w:rPr>
      </w:pPr>
    </w:p>
    <w:p w14:paraId="697ED9F7">
      <w:pPr>
        <w:spacing w:line="360" w:lineRule="auto"/>
        <w:rPr>
          <w:rFonts w:ascii="宋体" w:hAnsi="宋体" w:cs="宋体"/>
          <w:b/>
          <w:bCs/>
          <w:sz w:val="28"/>
          <w:szCs w:val="28"/>
        </w:rPr>
      </w:pPr>
      <w:r>
        <w:rPr>
          <w:rFonts w:hint="eastAsia" w:ascii="宋体" w:hAnsi="宋体" w:cs="宋体"/>
          <w:b/>
          <w:bCs/>
          <w:sz w:val="28"/>
          <w:szCs w:val="28"/>
        </w:rPr>
        <w:t>说明：</w:t>
      </w:r>
    </w:p>
    <w:p w14:paraId="427CC3A7">
      <w:pPr>
        <w:numPr>
          <w:ilvl w:val="0"/>
          <w:numId w:val="4"/>
        </w:numPr>
        <w:spacing w:line="360" w:lineRule="auto"/>
        <w:rPr>
          <w:rFonts w:ascii="宋体" w:hAnsi="宋体" w:cs="宋体"/>
          <w:b/>
          <w:bCs/>
          <w:sz w:val="28"/>
          <w:szCs w:val="28"/>
        </w:rPr>
      </w:pPr>
      <w:r>
        <w:rPr>
          <w:rFonts w:hint="eastAsia" w:ascii="宋体" w:hAnsi="宋体" w:cs="宋体"/>
          <w:b/>
          <w:bCs/>
          <w:sz w:val="28"/>
          <w:szCs w:val="28"/>
        </w:rPr>
        <w:t xml:space="preserve">响应供应商须对本项目包组单位的货物及工程进行整体响应，任何只对其中一部分内容进行的响应都被视为无效响应。 </w:t>
      </w:r>
    </w:p>
    <w:p w14:paraId="476ABF39">
      <w:pPr>
        <w:numPr>
          <w:ilvl w:val="0"/>
          <w:numId w:val="4"/>
        </w:numPr>
        <w:spacing w:line="360" w:lineRule="auto"/>
        <w:rPr>
          <w:rFonts w:ascii="宋体" w:hAnsi="宋体" w:cs="宋体"/>
          <w:b/>
          <w:bCs/>
          <w:sz w:val="28"/>
          <w:szCs w:val="28"/>
        </w:rPr>
      </w:pPr>
      <w:r>
        <w:rPr>
          <w:rFonts w:hint="eastAsia" w:ascii="宋体" w:hAnsi="宋体" w:cs="宋体"/>
          <w:b/>
          <w:bCs/>
          <w:sz w:val="28"/>
          <w:szCs w:val="28"/>
        </w:rPr>
        <w:t>用户需求书中打“★”号条款为实质性条款，响应供应商如有任何一条负偏离则导致投标无效。</w:t>
      </w:r>
    </w:p>
    <w:p w14:paraId="6536DA93">
      <w:pPr>
        <w:numPr>
          <w:ilvl w:val="0"/>
          <w:numId w:val="4"/>
        </w:numPr>
        <w:spacing w:line="360" w:lineRule="auto"/>
        <w:rPr>
          <w:rFonts w:ascii="宋体" w:hAnsi="宋体" w:cs="宋体"/>
          <w:b/>
          <w:bCs/>
          <w:sz w:val="28"/>
          <w:szCs w:val="28"/>
        </w:rPr>
      </w:pPr>
      <w:r>
        <w:rPr>
          <w:rFonts w:hint="eastAsia" w:ascii="宋体" w:hAnsi="宋体" w:cs="宋体"/>
          <w:b/>
          <w:bCs/>
          <w:sz w:val="28"/>
          <w:szCs w:val="28"/>
        </w:rPr>
        <w:t>标注“▲”号条款为重要技术参数，但不作为无效响应条款，如有不响应或负偏离，则视为不符合实质性响应要求。</w:t>
      </w:r>
    </w:p>
    <w:tbl>
      <w:tblPr>
        <w:tblStyle w:val="54"/>
        <w:tblW w:w="87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79"/>
        <w:gridCol w:w="1703"/>
        <w:gridCol w:w="1559"/>
        <w:gridCol w:w="2821"/>
      </w:tblGrid>
      <w:tr w14:paraId="4E3BE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679" w:type="dxa"/>
            <w:shd w:val="clear" w:color="auto" w:fill="EEECE1"/>
            <w:vAlign w:val="center"/>
          </w:tcPr>
          <w:p w14:paraId="046C36B0">
            <w:pPr>
              <w:spacing w:line="360" w:lineRule="auto"/>
              <w:jc w:val="center"/>
              <w:rPr>
                <w:rFonts w:ascii="宋体" w:hAnsi="宋体" w:cs="宋体"/>
                <w:b/>
                <w:sz w:val="28"/>
                <w:szCs w:val="28"/>
              </w:rPr>
            </w:pPr>
            <w:r>
              <w:rPr>
                <w:rFonts w:hint="eastAsia" w:ascii="宋体" w:hAnsi="宋体" w:cs="宋体"/>
                <w:b/>
                <w:sz w:val="28"/>
                <w:szCs w:val="28"/>
              </w:rPr>
              <w:t>采购内容</w:t>
            </w:r>
          </w:p>
        </w:tc>
        <w:tc>
          <w:tcPr>
            <w:tcW w:w="1703" w:type="dxa"/>
            <w:shd w:val="clear" w:color="auto" w:fill="EEECE1"/>
            <w:vAlign w:val="center"/>
          </w:tcPr>
          <w:p w14:paraId="467AA606">
            <w:pPr>
              <w:spacing w:line="360" w:lineRule="auto"/>
              <w:jc w:val="center"/>
              <w:rPr>
                <w:rFonts w:ascii="宋体" w:hAnsi="宋体" w:cs="宋体"/>
                <w:b/>
                <w:sz w:val="28"/>
                <w:szCs w:val="28"/>
              </w:rPr>
            </w:pPr>
            <w:r>
              <w:rPr>
                <w:rFonts w:hint="eastAsia" w:ascii="宋体" w:hAnsi="宋体" w:cs="宋体"/>
                <w:b/>
                <w:sz w:val="28"/>
                <w:szCs w:val="28"/>
              </w:rPr>
              <w:t>成交人数量</w:t>
            </w:r>
          </w:p>
        </w:tc>
        <w:tc>
          <w:tcPr>
            <w:tcW w:w="1559" w:type="dxa"/>
            <w:shd w:val="clear" w:color="auto" w:fill="EEECE1"/>
            <w:vAlign w:val="center"/>
          </w:tcPr>
          <w:p w14:paraId="6A4014D6">
            <w:pPr>
              <w:spacing w:line="360" w:lineRule="auto"/>
              <w:jc w:val="center"/>
              <w:rPr>
                <w:rFonts w:ascii="宋体" w:hAnsi="宋体" w:cs="宋体"/>
                <w:b/>
                <w:sz w:val="28"/>
                <w:szCs w:val="28"/>
              </w:rPr>
            </w:pPr>
            <w:r>
              <w:rPr>
                <w:rFonts w:hint="eastAsia" w:ascii="宋体" w:hAnsi="宋体" w:cs="宋体"/>
                <w:b/>
                <w:sz w:val="28"/>
                <w:szCs w:val="28"/>
              </w:rPr>
              <w:t>最高限价</w:t>
            </w:r>
          </w:p>
        </w:tc>
        <w:tc>
          <w:tcPr>
            <w:tcW w:w="2821" w:type="dxa"/>
            <w:shd w:val="clear" w:color="auto" w:fill="EEECE1"/>
            <w:vAlign w:val="center"/>
          </w:tcPr>
          <w:p w14:paraId="376C3BB8">
            <w:pPr>
              <w:spacing w:line="360" w:lineRule="auto"/>
              <w:jc w:val="center"/>
              <w:rPr>
                <w:rFonts w:ascii="宋体" w:hAnsi="宋体" w:cs="宋体"/>
                <w:b/>
                <w:sz w:val="28"/>
                <w:szCs w:val="28"/>
              </w:rPr>
            </w:pPr>
            <w:r>
              <w:rPr>
                <w:rFonts w:hint="eastAsia" w:ascii="宋体" w:hAnsi="宋体" w:cs="宋体"/>
                <w:b/>
                <w:sz w:val="28"/>
                <w:szCs w:val="28"/>
              </w:rPr>
              <w:t>交货期</w:t>
            </w:r>
          </w:p>
        </w:tc>
      </w:tr>
      <w:tr w14:paraId="53975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679" w:type="dxa"/>
            <w:vAlign w:val="center"/>
          </w:tcPr>
          <w:p w14:paraId="6AA0EC26">
            <w:pPr>
              <w:spacing w:line="360" w:lineRule="auto"/>
              <w:jc w:val="center"/>
              <w:rPr>
                <w:rFonts w:ascii="宋体" w:hAnsi="宋体" w:cs="宋体"/>
                <w:sz w:val="28"/>
                <w:szCs w:val="28"/>
              </w:rPr>
            </w:pPr>
            <w:bookmarkStart w:id="23" w:name="_Hlk199166574"/>
            <w:r>
              <w:rPr>
                <w:rFonts w:hint="eastAsia" w:ascii="宋体" w:hAnsi="宋体" w:cs="宋体"/>
                <w:bCs/>
                <w:sz w:val="28"/>
                <w:szCs w:val="28"/>
              </w:rPr>
              <w:t>EPG系统软件</w:t>
            </w:r>
          </w:p>
        </w:tc>
        <w:tc>
          <w:tcPr>
            <w:tcW w:w="1703" w:type="dxa"/>
            <w:vAlign w:val="center"/>
          </w:tcPr>
          <w:p w14:paraId="3A90525C">
            <w:pPr>
              <w:keepNext/>
              <w:spacing w:line="360" w:lineRule="auto"/>
              <w:jc w:val="center"/>
              <w:textAlignment w:val="center"/>
              <w:rPr>
                <w:rFonts w:ascii="宋体" w:hAnsi="宋体" w:cs="宋体"/>
                <w:sz w:val="28"/>
                <w:szCs w:val="28"/>
              </w:rPr>
            </w:pPr>
            <w:r>
              <w:rPr>
                <w:rFonts w:hint="eastAsia" w:ascii="宋体" w:hAnsi="宋体" w:cs="宋体"/>
                <w:sz w:val="28"/>
                <w:szCs w:val="28"/>
              </w:rPr>
              <w:t>1家</w:t>
            </w:r>
          </w:p>
        </w:tc>
        <w:tc>
          <w:tcPr>
            <w:tcW w:w="1559" w:type="dxa"/>
            <w:vAlign w:val="center"/>
          </w:tcPr>
          <w:p w14:paraId="4DB4641E">
            <w:pPr>
              <w:spacing w:line="360" w:lineRule="auto"/>
              <w:jc w:val="center"/>
              <w:rPr>
                <w:rFonts w:ascii="宋体" w:hAnsi="宋体" w:cs="宋体"/>
                <w:bCs/>
                <w:sz w:val="28"/>
                <w:szCs w:val="28"/>
              </w:rPr>
            </w:pPr>
            <w:r>
              <w:rPr>
                <w:rFonts w:hint="eastAsia" w:ascii="宋体" w:hAnsi="宋体" w:cs="宋体"/>
                <w:sz w:val="28"/>
                <w:szCs w:val="28"/>
              </w:rPr>
              <w:t>人民币</w:t>
            </w:r>
            <w:r>
              <w:rPr>
                <w:rFonts w:hint="eastAsia" w:ascii="宋体" w:hAnsi="宋体" w:cs="宋体"/>
                <w:sz w:val="28"/>
                <w:szCs w:val="28"/>
                <w:u w:val="single"/>
              </w:rPr>
              <w:t>19.8</w:t>
            </w:r>
            <w:r>
              <w:rPr>
                <w:rFonts w:hint="eastAsia" w:ascii="宋体" w:hAnsi="宋体" w:cs="宋体"/>
                <w:sz w:val="28"/>
                <w:szCs w:val="28"/>
              </w:rPr>
              <w:t>万元</w:t>
            </w:r>
          </w:p>
        </w:tc>
        <w:tc>
          <w:tcPr>
            <w:tcW w:w="2821" w:type="dxa"/>
            <w:vAlign w:val="center"/>
          </w:tcPr>
          <w:p w14:paraId="1C71C4CB">
            <w:pPr>
              <w:spacing w:line="360" w:lineRule="auto"/>
              <w:jc w:val="center"/>
              <w:rPr>
                <w:rFonts w:ascii="宋体" w:hAnsi="宋体" w:cs="宋体"/>
                <w:bCs/>
                <w:sz w:val="28"/>
                <w:szCs w:val="28"/>
              </w:rPr>
            </w:pPr>
            <w:r>
              <w:rPr>
                <w:rFonts w:hint="eastAsia" w:ascii="宋体" w:hAnsi="宋体" w:cs="宋体"/>
                <w:sz w:val="28"/>
                <w:szCs w:val="28"/>
              </w:rPr>
              <w:t>自合同签订之日起30日历天内（遇广电安全播出期顺延）</w:t>
            </w:r>
          </w:p>
        </w:tc>
      </w:tr>
      <w:bookmarkEnd w:id="23"/>
    </w:tbl>
    <w:p w14:paraId="6FEA7D2B">
      <w:pPr>
        <w:numPr>
          <w:ilvl w:val="0"/>
          <w:numId w:val="5"/>
        </w:numPr>
        <w:adjustRightInd w:val="0"/>
        <w:spacing w:line="360" w:lineRule="auto"/>
        <w:ind w:left="426" w:hanging="426"/>
        <w:rPr>
          <w:rFonts w:ascii="宋体" w:hAnsi="宋体" w:cs="宋体"/>
          <w:b/>
          <w:kern w:val="0"/>
          <w:sz w:val="28"/>
          <w:szCs w:val="28"/>
        </w:rPr>
      </w:pPr>
      <w:r>
        <w:rPr>
          <w:rFonts w:hint="eastAsia" w:ascii="宋体" w:hAnsi="宋体" w:cs="宋体"/>
          <w:b/>
          <w:kern w:val="0"/>
          <w:sz w:val="28"/>
          <w:szCs w:val="28"/>
        </w:rPr>
        <w:t>采购内容及技术要求：</w:t>
      </w:r>
    </w:p>
    <w:p w14:paraId="11D0D462">
      <w:pPr>
        <w:snapToGrid w:val="0"/>
        <w:spacing w:line="360" w:lineRule="auto"/>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总体要求</w:t>
      </w:r>
    </w:p>
    <w:p w14:paraId="13706D86">
      <w:pPr>
        <w:snapToGrid w:val="0"/>
        <w:spacing w:line="360" w:lineRule="auto"/>
        <w:ind w:firstLine="560" w:firstLineChars="200"/>
        <w:rPr>
          <w:rFonts w:ascii="宋体" w:hAnsi="宋体"/>
          <w:sz w:val="28"/>
          <w:szCs w:val="28"/>
        </w:rPr>
      </w:pPr>
      <w:r>
        <w:rPr>
          <w:rFonts w:ascii="宋体" w:hAnsi="宋体"/>
          <w:sz w:val="28"/>
          <w:szCs w:val="28"/>
        </w:rPr>
        <w:t>本次项目招标的</w:t>
      </w:r>
      <w:r>
        <w:rPr>
          <w:rFonts w:hint="eastAsia" w:ascii="宋体" w:hAnsi="宋体"/>
          <w:sz w:val="28"/>
          <w:szCs w:val="28"/>
        </w:rPr>
        <w:t>软件</w:t>
      </w:r>
      <w:r>
        <w:rPr>
          <w:rFonts w:ascii="宋体" w:hAnsi="宋体"/>
          <w:sz w:val="28"/>
          <w:szCs w:val="28"/>
        </w:rPr>
        <w:t>为</w:t>
      </w:r>
      <w:r>
        <w:rPr>
          <w:rFonts w:hint="eastAsia" w:ascii="宋体" w:hAnsi="宋体" w:cs="宋体"/>
          <w:sz w:val="28"/>
          <w:szCs w:val="28"/>
        </w:rPr>
        <w:t>数字电视平台</w:t>
      </w:r>
      <w:r>
        <w:rPr>
          <w:rFonts w:ascii="宋体" w:hAnsi="宋体" w:cs="宋体"/>
          <w:bCs/>
          <w:sz w:val="28"/>
          <w:szCs w:val="28"/>
        </w:rPr>
        <w:t>电子节目指南系统升级改造</w:t>
      </w:r>
      <w:r>
        <w:rPr>
          <w:rFonts w:hint="eastAsia" w:ascii="宋体" w:hAnsi="宋体" w:cs="宋体"/>
          <w:bCs/>
          <w:sz w:val="28"/>
          <w:szCs w:val="28"/>
        </w:rPr>
        <w:t>软件，包括电子节目指南系</w:t>
      </w:r>
      <w:r>
        <w:rPr>
          <w:rFonts w:hint="eastAsia" w:ascii="Calibri" w:hAnsi="Calibri"/>
          <w:sz w:val="28"/>
          <w:szCs w:val="28"/>
        </w:rPr>
        <w:t>统以及双机软件</w:t>
      </w:r>
      <w:r>
        <w:rPr>
          <w:rFonts w:ascii="Calibri" w:hAnsi="Calibri"/>
          <w:sz w:val="28"/>
          <w:szCs w:val="28"/>
        </w:rPr>
        <w:t>。</w:t>
      </w:r>
      <w:r>
        <w:rPr>
          <w:rFonts w:hint="eastAsia" w:ascii="Calibri" w:hAnsi="Calibri"/>
          <w:sz w:val="28"/>
          <w:szCs w:val="28"/>
        </w:rPr>
        <w:t>目前陆丰分公司使用德芯EPG，汕尾分公司使用算通EPG。计划未来前端整合后使用新的EPG系统替换原有EPG系统，完成两地的EPG信息的播发。</w:t>
      </w:r>
      <w:r>
        <w:rPr>
          <w:rFonts w:ascii="宋体" w:hAnsi="宋体"/>
          <w:sz w:val="28"/>
          <w:szCs w:val="28"/>
        </w:rPr>
        <w:t>本项目要求提供品质优、可靠性高的</w:t>
      </w:r>
      <w:r>
        <w:rPr>
          <w:rFonts w:hint="eastAsia" w:ascii="宋体" w:hAnsi="宋体"/>
          <w:sz w:val="28"/>
          <w:szCs w:val="28"/>
        </w:rPr>
        <w:t>产品</w:t>
      </w:r>
      <w:r>
        <w:rPr>
          <w:rFonts w:ascii="宋体" w:hAnsi="宋体"/>
          <w:sz w:val="28"/>
          <w:szCs w:val="28"/>
        </w:rPr>
        <w:t>，各投标人应高度重视，严把质量关并提供更为优质的服务。</w:t>
      </w:r>
    </w:p>
    <w:p w14:paraId="5B2670D0">
      <w:pPr>
        <w:snapToGrid w:val="0"/>
        <w:spacing w:line="360" w:lineRule="auto"/>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相关标准规范</w:t>
      </w:r>
    </w:p>
    <w:p w14:paraId="6CC2D22C">
      <w:pPr>
        <w:snapToGrid w:val="0"/>
        <w:spacing w:line="360" w:lineRule="auto"/>
        <w:ind w:firstLine="560" w:firstLineChars="200"/>
        <w:rPr>
          <w:rFonts w:ascii="Calibri" w:hAnsi="Calibri"/>
          <w:sz w:val="28"/>
          <w:szCs w:val="28"/>
        </w:rPr>
      </w:pPr>
      <w:r>
        <w:rPr>
          <w:rFonts w:ascii="宋体" w:hAnsi="宋体"/>
          <w:sz w:val="28"/>
          <w:szCs w:val="28"/>
        </w:rPr>
        <w:t>★</w:t>
      </w:r>
      <w:r>
        <w:rPr>
          <w:rFonts w:hint="eastAsia" w:ascii="Calibri" w:hAnsi="Calibri"/>
          <w:sz w:val="28"/>
          <w:szCs w:val="28"/>
        </w:rPr>
        <w:t>系统必须以国家标准和</w:t>
      </w:r>
      <w:bookmarkStart w:id="24" w:name="OLE_LINK1"/>
      <w:bookmarkStart w:id="25" w:name="OLE_LINK2"/>
      <w:r>
        <w:rPr>
          <w:rFonts w:hint="eastAsia" w:ascii="Calibri" w:hAnsi="Calibri"/>
          <w:sz w:val="28"/>
          <w:szCs w:val="28"/>
        </w:rPr>
        <w:t>广电总局行业标准</w:t>
      </w:r>
      <w:bookmarkEnd w:id="24"/>
      <w:bookmarkEnd w:id="25"/>
      <w:r>
        <w:rPr>
          <w:rFonts w:hint="eastAsia" w:ascii="Calibri" w:hAnsi="Calibri"/>
          <w:sz w:val="28"/>
          <w:szCs w:val="28"/>
        </w:rPr>
        <w:t>为规范。若没有相应国内标准，则必须以DVB组织、</w:t>
      </w:r>
      <w:r>
        <w:rPr>
          <w:rFonts w:ascii="Calibri" w:hAnsi="Calibri"/>
          <w:sz w:val="28"/>
          <w:szCs w:val="28"/>
        </w:rPr>
        <w:t>ITU-T</w:t>
      </w:r>
      <w:r>
        <w:rPr>
          <w:rFonts w:hint="eastAsia" w:ascii="Calibri" w:hAnsi="Calibri"/>
          <w:sz w:val="28"/>
          <w:szCs w:val="28"/>
        </w:rPr>
        <w:t>有关技术标准与建议为规范。对于目前尚无可参照标准的部分，EPG提供商要加以特别说明，并书面承诺在相关标准出台后，对系统进行升级以符合新标准。</w:t>
      </w:r>
    </w:p>
    <w:p w14:paraId="0905D06F">
      <w:pPr>
        <w:numPr>
          <w:ilvl w:val="0"/>
          <w:numId w:val="6"/>
        </w:numPr>
        <w:tabs>
          <w:tab w:val="left" w:pos="360"/>
          <w:tab w:val="left" w:pos="720"/>
        </w:tabs>
        <w:spacing w:line="360" w:lineRule="auto"/>
        <w:ind w:hanging="60"/>
        <w:rPr>
          <w:rFonts w:ascii="宋体" w:hAnsi="宋体"/>
          <w:sz w:val="28"/>
          <w:szCs w:val="28"/>
        </w:rPr>
      </w:pPr>
      <w:r>
        <w:rPr>
          <w:rFonts w:ascii="宋体" w:hAnsi="宋体"/>
          <w:sz w:val="28"/>
          <w:szCs w:val="28"/>
        </w:rPr>
        <w:t>GB/T 17975.1-2000</w:t>
      </w:r>
      <w:r>
        <w:rPr>
          <w:rFonts w:hint="eastAsia" w:ascii="宋体" w:hAnsi="宋体"/>
          <w:sz w:val="28"/>
          <w:szCs w:val="28"/>
        </w:rPr>
        <w:t>《信息技术 运动图像及其伴音信号的通用编码 第1部分 系统》</w:t>
      </w:r>
    </w:p>
    <w:p w14:paraId="3F19DBE9">
      <w:pPr>
        <w:numPr>
          <w:ilvl w:val="0"/>
          <w:numId w:val="6"/>
        </w:numPr>
        <w:tabs>
          <w:tab w:val="left" w:pos="360"/>
          <w:tab w:val="left" w:pos="720"/>
        </w:tabs>
        <w:spacing w:line="360" w:lineRule="auto"/>
        <w:ind w:hanging="60"/>
        <w:rPr>
          <w:rFonts w:ascii="宋体" w:hAnsi="宋体"/>
          <w:sz w:val="28"/>
          <w:szCs w:val="28"/>
        </w:rPr>
      </w:pPr>
      <w:r>
        <w:rPr>
          <w:rFonts w:ascii="宋体" w:hAnsi="宋体"/>
          <w:sz w:val="28"/>
          <w:szCs w:val="28"/>
        </w:rPr>
        <w:t>GB/T 17975.2-2000</w:t>
      </w:r>
      <w:r>
        <w:rPr>
          <w:rFonts w:hint="eastAsia" w:ascii="宋体" w:hAnsi="宋体"/>
          <w:sz w:val="28"/>
          <w:szCs w:val="28"/>
        </w:rPr>
        <w:t>《信息技术 运动图像及其伴音信号的通用编码 第2部分 视频》</w:t>
      </w:r>
    </w:p>
    <w:p w14:paraId="5E164C37">
      <w:pPr>
        <w:numPr>
          <w:ilvl w:val="0"/>
          <w:numId w:val="6"/>
        </w:numPr>
        <w:tabs>
          <w:tab w:val="left" w:pos="360"/>
          <w:tab w:val="left" w:pos="720"/>
        </w:tabs>
        <w:spacing w:line="360" w:lineRule="auto"/>
        <w:ind w:hanging="60"/>
        <w:rPr>
          <w:rFonts w:ascii="宋体" w:hAnsi="宋体"/>
          <w:sz w:val="28"/>
          <w:szCs w:val="28"/>
        </w:rPr>
      </w:pPr>
      <w:r>
        <w:rPr>
          <w:rFonts w:ascii="宋体" w:hAnsi="宋体"/>
          <w:sz w:val="28"/>
          <w:szCs w:val="28"/>
        </w:rPr>
        <w:t>GB/T 17975.3-2000</w:t>
      </w:r>
      <w:r>
        <w:rPr>
          <w:rFonts w:hint="eastAsia" w:ascii="宋体" w:hAnsi="宋体"/>
          <w:sz w:val="28"/>
          <w:szCs w:val="28"/>
        </w:rPr>
        <w:t>《信息技术 运动图像及其伴音信号的通用编码 第3部分 音频》</w:t>
      </w:r>
    </w:p>
    <w:p w14:paraId="1876BA44">
      <w:pPr>
        <w:numPr>
          <w:ilvl w:val="0"/>
          <w:numId w:val="6"/>
        </w:numPr>
        <w:tabs>
          <w:tab w:val="left" w:pos="360"/>
          <w:tab w:val="left" w:pos="720"/>
        </w:tabs>
        <w:spacing w:line="360" w:lineRule="auto"/>
        <w:ind w:hanging="60"/>
        <w:rPr>
          <w:rFonts w:ascii="宋体" w:hAnsi="宋体"/>
          <w:sz w:val="28"/>
          <w:szCs w:val="28"/>
        </w:rPr>
      </w:pPr>
      <w:r>
        <w:rPr>
          <w:rFonts w:ascii="宋体" w:hAnsi="宋体"/>
          <w:sz w:val="28"/>
          <w:szCs w:val="28"/>
        </w:rPr>
        <w:t xml:space="preserve">GY/T 170-2001 </w:t>
      </w:r>
      <w:r>
        <w:rPr>
          <w:rFonts w:hint="eastAsia" w:ascii="宋体" w:hAnsi="宋体"/>
          <w:sz w:val="28"/>
          <w:szCs w:val="28"/>
        </w:rPr>
        <w:t>《有线数字电视广播信道编码与调制规范》</w:t>
      </w:r>
    </w:p>
    <w:p w14:paraId="1DD485D7">
      <w:pPr>
        <w:numPr>
          <w:ilvl w:val="0"/>
          <w:numId w:val="6"/>
        </w:numPr>
        <w:tabs>
          <w:tab w:val="left" w:pos="360"/>
          <w:tab w:val="left" w:pos="720"/>
        </w:tabs>
        <w:spacing w:line="360" w:lineRule="auto"/>
        <w:ind w:hanging="60"/>
        <w:rPr>
          <w:rFonts w:ascii="宋体" w:hAnsi="宋体"/>
          <w:sz w:val="28"/>
          <w:szCs w:val="28"/>
        </w:rPr>
      </w:pPr>
      <w:r>
        <w:rPr>
          <w:rFonts w:ascii="宋体" w:hAnsi="宋体"/>
          <w:sz w:val="28"/>
          <w:szCs w:val="28"/>
        </w:rPr>
        <w:t xml:space="preserve">GY/Z 174-2001 </w:t>
      </w:r>
      <w:r>
        <w:rPr>
          <w:rFonts w:hint="eastAsia" w:ascii="宋体" w:hAnsi="宋体"/>
          <w:sz w:val="28"/>
          <w:szCs w:val="28"/>
        </w:rPr>
        <w:t>《数字电视广播业务信息规范》</w:t>
      </w:r>
    </w:p>
    <w:p w14:paraId="7D1F595A">
      <w:pPr>
        <w:numPr>
          <w:ilvl w:val="0"/>
          <w:numId w:val="6"/>
        </w:numPr>
        <w:tabs>
          <w:tab w:val="left" w:pos="360"/>
          <w:tab w:val="left" w:pos="720"/>
        </w:tabs>
        <w:spacing w:line="360" w:lineRule="auto"/>
        <w:ind w:hanging="60"/>
        <w:rPr>
          <w:rFonts w:ascii="宋体" w:hAnsi="宋体"/>
          <w:sz w:val="28"/>
          <w:szCs w:val="28"/>
        </w:rPr>
      </w:pPr>
      <w:r>
        <w:rPr>
          <w:rFonts w:ascii="宋体" w:hAnsi="宋体"/>
          <w:sz w:val="28"/>
          <w:szCs w:val="28"/>
        </w:rPr>
        <w:t xml:space="preserve">GY/Z 175-2001 </w:t>
      </w:r>
      <w:r>
        <w:rPr>
          <w:rFonts w:hint="eastAsia" w:ascii="宋体" w:hAnsi="宋体"/>
          <w:sz w:val="28"/>
          <w:szCs w:val="28"/>
        </w:rPr>
        <w:t>《数字电视广播条件接收系统规范》</w:t>
      </w:r>
    </w:p>
    <w:p w14:paraId="36B3C024">
      <w:pPr>
        <w:numPr>
          <w:ilvl w:val="0"/>
          <w:numId w:val="6"/>
        </w:numPr>
        <w:tabs>
          <w:tab w:val="left" w:pos="360"/>
          <w:tab w:val="left" w:pos="720"/>
        </w:tabs>
        <w:spacing w:line="360" w:lineRule="auto"/>
        <w:ind w:hanging="60"/>
        <w:rPr>
          <w:rFonts w:ascii="宋体" w:hAnsi="宋体"/>
          <w:sz w:val="28"/>
          <w:szCs w:val="28"/>
        </w:rPr>
      </w:pPr>
      <w:r>
        <w:rPr>
          <w:rFonts w:ascii="宋体" w:hAnsi="宋体"/>
          <w:sz w:val="28"/>
          <w:szCs w:val="28"/>
        </w:rPr>
        <w:t>DVB</w:t>
      </w:r>
      <w:r>
        <w:rPr>
          <w:rFonts w:hint="eastAsia" w:ascii="宋体" w:hAnsi="宋体"/>
          <w:sz w:val="28"/>
          <w:szCs w:val="28"/>
        </w:rPr>
        <w:t>标准</w:t>
      </w:r>
      <w:r>
        <w:rPr>
          <w:rFonts w:ascii="宋体" w:hAnsi="宋体"/>
          <w:sz w:val="28"/>
          <w:szCs w:val="28"/>
        </w:rPr>
        <w:t>ETS 300 468</w:t>
      </w:r>
    </w:p>
    <w:p w14:paraId="28DEF507">
      <w:pPr>
        <w:widowControl/>
        <w:spacing w:after="120"/>
        <w:ind w:left="420" w:leftChars="200" w:firstLine="560" w:firstLineChars="200"/>
        <w:textAlignment w:val="baseline"/>
        <w:rPr>
          <w:rFonts w:ascii="Calibri" w:hAnsi="Calibri"/>
          <w:sz w:val="28"/>
          <w:szCs w:val="28"/>
        </w:rPr>
      </w:pPr>
    </w:p>
    <w:p w14:paraId="0C6AE01E">
      <w:pPr>
        <w:snapToGrid w:val="0"/>
        <w:spacing w:line="360" w:lineRule="auto"/>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总体原则</w:t>
      </w:r>
    </w:p>
    <w:p w14:paraId="7B2498D1">
      <w:pPr>
        <w:snapToGrid w:val="0"/>
        <w:spacing w:line="360" w:lineRule="auto"/>
        <w:ind w:firstLine="560" w:firstLineChars="200"/>
        <w:rPr>
          <w:rFonts w:ascii="宋体" w:hAnsi="宋体"/>
          <w:sz w:val="28"/>
          <w:szCs w:val="28"/>
        </w:rPr>
      </w:pPr>
      <w:r>
        <w:rPr>
          <w:rFonts w:ascii="宋体" w:hAnsi="宋体"/>
          <w:sz w:val="28"/>
          <w:szCs w:val="28"/>
        </w:rPr>
        <w:t>投标人所供方案建议书应符合以下几点总体原则:</w:t>
      </w:r>
    </w:p>
    <w:p w14:paraId="4607736D">
      <w:pPr>
        <w:widowControl/>
        <w:numPr>
          <w:ilvl w:val="0"/>
          <w:numId w:val="7"/>
        </w:numPr>
        <w:snapToGrid w:val="0"/>
        <w:spacing w:line="360" w:lineRule="auto"/>
        <w:rPr>
          <w:rFonts w:ascii="Calibri" w:hAnsi="Calibri"/>
          <w:b/>
          <w:bCs/>
          <w:sz w:val="28"/>
          <w:szCs w:val="28"/>
        </w:rPr>
      </w:pPr>
      <w:r>
        <w:rPr>
          <w:rFonts w:hint="eastAsia" w:ascii="Calibri" w:hAnsi="Calibri"/>
          <w:sz w:val="28"/>
          <w:szCs w:val="28"/>
        </w:rPr>
        <w:t>EPG系统的开放性</w:t>
      </w:r>
    </w:p>
    <w:p w14:paraId="26E3ECD9">
      <w:pPr>
        <w:widowControl/>
        <w:numPr>
          <w:ilvl w:val="0"/>
          <w:numId w:val="8"/>
        </w:numPr>
        <w:snapToGrid w:val="0"/>
        <w:spacing w:line="360" w:lineRule="auto"/>
        <w:textAlignment w:val="baseline"/>
        <w:rPr>
          <w:rFonts w:ascii="Calibri" w:hAnsi="Calibri"/>
          <w:sz w:val="28"/>
          <w:szCs w:val="28"/>
        </w:rPr>
      </w:pPr>
      <w:r>
        <w:rPr>
          <w:rFonts w:hint="eastAsia" w:ascii="Calibri" w:hAnsi="Calibri"/>
          <w:sz w:val="28"/>
          <w:szCs w:val="28"/>
        </w:rPr>
        <w:t>系统应具备良好的兼容性，可以与所有符合标准的第三方系统和设备进行集成。</w:t>
      </w:r>
    </w:p>
    <w:p w14:paraId="110208EB">
      <w:pPr>
        <w:widowControl/>
        <w:numPr>
          <w:ilvl w:val="0"/>
          <w:numId w:val="7"/>
        </w:numPr>
        <w:snapToGrid w:val="0"/>
        <w:spacing w:line="360" w:lineRule="auto"/>
        <w:rPr>
          <w:rFonts w:ascii="Calibri" w:hAnsi="Calibri"/>
          <w:b/>
          <w:bCs/>
          <w:sz w:val="28"/>
          <w:szCs w:val="28"/>
        </w:rPr>
      </w:pPr>
      <w:r>
        <w:rPr>
          <w:rFonts w:hint="eastAsia" w:ascii="Calibri" w:hAnsi="Calibri"/>
          <w:sz w:val="28"/>
          <w:szCs w:val="28"/>
        </w:rPr>
        <w:t>EPG系统的可扩展性</w:t>
      </w:r>
    </w:p>
    <w:p w14:paraId="161CC8CF">
      <w:pPr>
        <w:widowControl/>
        <w:numPr>
          <w:ilvl w:val="0"/>
          <w:numId w:val="8"/>
        </w:numPr>
        <w:snapToGrid w:val="0"/>
        <w:spacing w:line="360" w:lineRule="auto"/>
        <w:textAlignment w:val="baseline"/>
        <w:rPr>
          <w:rFonts w:ascii="Calibri" w:hAnsi="Calibri"/>
          <w:sz w:val="28"/>
          <w:szCs w:val="28"/>
        </w:rPr>
      </w:pPr>
      <w:r>
        <w:rPr>
          <w:rFonts w:hint="eastAsia" w:ascii="Calibri" w:hAnsi="Calibri"/>
          <w:sz w:val="28"/>
          <w:szCs w:val="28"/>
        </w:rPr>
        <w:t>EPG系统必须具备平滑升级的能力，在升级过程中，必须保证业务不间断。</w:t>
      </w:r>
    </w:p>
    <w:p w14:paraId="695071D5">
      <w:pPr>
        <w:widowControl/>
        <w:numPr>
          <w:ilvl w:val="0"/>
          <w:numId w:val="8"/>
        </w:numPr>
        <w:snapToGrid w:val="0"/>
        <w:spacing w:line="360" w:lineRule="auto"/>
        <w:textAlignment w:val="baseline"/>
        <w:rPr>
          <w:rFonts w:ascii="Calibri" w:hAnsi="Calibri"/>
          <w:sz w:val="28"/>
          <w:szCs w:val="28"/>
        </w:rPr>
      </w:pPr>
      <w:r>
        <w:rPr>
          <w:rFonts w:hint="eastAsia" w:ascii="Calibri" w:hAnsi="Calibri"/>
          <w:sz w:val="28"/>
          <w:szCs w:val="28"/>
        </w:rPr>
        <w:t>系统应具有高度的灵活性，能够灵活的按实际需求进行升级和扩充，满足 在系统建设不同时期的需求。</w:t>
      </w:r>
    </w:p>
    <w:p w14:paraId="4E2BE0E7">
      <w:pPr>
        <w:widowControl/>
        <w:numPr>
          <w:ilvl w:val="0"/>
          <w:numId w:val="8"/>
        </w:numPr>
        <w:snapToGrid w:val="0"/>
        <w:spacing w:line="360" w:lineRule="auto"/>
        <w:textAlignment w:val="baseline"/>
        <w:rPr>
          <w:rFonts w:ascii="Calibri" w:hAnsi="Calibri"/>
          <w:sz w:val="28"/>
          <w:szCs w:val="28"/>
        </w:rPr>
      </w:pPr>
      <w:r>
        <w:rPr>
          <w:rFonts w:hint="eastAsia" w:ascii="Calibri" w:hAnsi="Calibri"/>
          <w:sz w:val="28"/>
          <w:szCs w:val="28"/>
        </w:rPr>
        <w:t>EPG系统设备在其领域内须具备先进性、成熟性。</w:t>
      </w:r>
    </w:p>
    <w:p w14:paraId="045FE6AC">
      <w:pPr>
        <w:widowControl/>
        <w:numPr>
          <w:ilvl w:val="0"/>
          <w:numId w:val="8"/>
        </w:numPr>
        <w:snapToGrid w:val="0"/>
        <w:spacing w:line="360" w:lineRule="auto"/>
        <w:textAlignment w:val="baseline"/>
        <w:rPr>
          <w:rFonts w:ascii="Calibri" w:hAnsi="Calibri"/>
          <w:sz w:val="28"/>
          <w:szCs w:val="28"/>
        </w:rPr>
      </w:pPr>
      <w:r>
        <w:rPr>
          <w:rFonts w:hint="eastAsia" w:ascii="Calibri" w:hAnsi="Calibri"/>
          <w:sz w:val="28"/>
          <w:szCs w:val="28"/>
        </w:rPr>
        <w:t>EPG系统提供商须充分考虑系统的可扩展性，说明今后系统规模扩展的途径。</w:t>
      </w:r>
    </w:p>
    <w:p w14:paraId="6E210569">
      <w:pPr>
        <w:widowControl/>
        <w:numPr>
          <w:ilvl w:val="0"/>
          <w:numId w:val="8"/>
        </w:numPr>
        <w:snapToGrid w:val="0"/>
        <w:spacing w:line="360" w:lineRule="auto"/>
        <w:textAlignment w:val="baseline"/>
        <w:rPr>
          <w:rFonts w:ascii="Calibri" w:hAnsi="Calibri"/>
          <w:sz w:val="28"/>
          <w:szCs w:val="28"/>
        </w:rPr>
      </w:pPr>
      <w:r>
        <w:rPr>
          <w:rFonts w:hint="eastAsia" w:ascii="Calibri" w:hAnsi="Calibri"/>
          <w:sz w:val="28"/>
          <w:szCs w:val="28"/>
        </w:rPr>
        <w:t>系统必须具有先进、完善的系统管理、操作员管理等功能，以确保系统的安 全，系统必须有效地杜绝、限制黑客非法进入系统，保证系统安全。</w:t>
      </w:r>
    </w:p>
    <w:p w14:paraId="03D97E71">
      <w:pPr>
        <w:widowControl/>
        <w:numPr>
          <w:ilvl w:val="0"/>
          <w:numId w:val="7"/>
        </w:numPr>
        <w:snapToGrid w:val="0"/>
        <w:spacing w:line="360" w:lineRule="auto"/>
        <w:rPr>
          <w:rFonts w:ascii="宋体" w:hAnsi="宋体"/>
          <w:b/>
          <w:bCs/>
          <w:sz w:val="28"/>
          <w:szCs w:val="28"/>
        </w:rPr>
      </w:pPr>
      <w:r>
        <w:rPr>
          <w:rFonts w:ascii="宋体" w:hAnsi="宋体"/>
          <w:sz w:val="28"/>
          <w:szCs w:val="28"/>
        </w:rPr>
        <w:t>安全、可靠性</w:t>
      </w:r>
    </w:p>
    <w:p w14:paraId="49D45ABD">
      <w:pPr>
        <w:snapToGrid w:val="0"/>
        <w:spacing w:line="360" w:lineRule="auto"/>
        <w:ind w:firstLine="560" w:firstLineChars="200"/>
        <w:rPr>
          <w:rFonts w:ascii="宋体" w:hAnsi="宋体"/>
          <w:sz w:val="28"/>
          <w:szCs w:val="28"/>
        </w:rPr>
      </w:pPr>
      <w:r>
        <w:rPr>
          <w:rFonts w:ascii="宋体" w:hAnsi="宋体"/>
          <w:sz w:val="28"/>
          <w:szCs w:val="28"/>
        </w:rPr>
        <w:t>设备每年可靠运行时间比要达到99.99%以上；须有效地杜绝、限制黑客非法进入系统，保证系统安全；系统须保证不留任何能够控制、限制或不利于竞谈人的软件设置；系统须经过长时间、多用户的实际应用考验。</w:t>
      </w:r>
    </w:p>
    <w:p w14:paraId="72A9EC82">
      <w:pPr>
        <w:widowControl/>
        <w:numPr>
          <w:ilvl w:val="0"/>
          <w:numId w:val="7"/>
        </w:numPr>
        <w:snapToGrid w:val="0"/>
        <w:spacing w:line="360" w:lineRule="auto"/>
        <w:rPr>
          <w:rFonts w:ascii="宋体" w:hAnsi="宋体"/>
          <w:b/>
          <w:bCs/>
          <w:sz w:val="28"/>
          <w:szCs w:val="28"/>
        </w:rPr>
      </w:pPr>
      <w:r>
        <w:rPr>
          <w:rFonts w:ascii="宋体" w:hAnsi="宋体"/>
          <w:sz w:val="28"/>
          <w:szCs w:val="28"/>
        </w:rPr>
        <w:t>先进性</w:t>
      </w:r>
    </w:p>
    <w:p w14:paraId="7BE32DFC">
      <w:pPr>
        <w:snapToGrid w:val="0"/>
        <w:spacing w:line="360" w:lineRule="auto"/>
        <w:ind w:firstLine="560" w:firstLineChars="200"/>
        <w:rPr>
          <w:rFonts w:ascii="宋体" w:hAnsi="宋体"/>
          <w:sz w:val="28"/>
          <w:szCs w:val="28"/>
        </w:rPr>
      </w:pPr>
      <w:r>
        <w:rPr>
          <w:rFonts w:ascii="宋体" w:hAnsi="宋体"/>
          <w:sz w:val="28"/>
          <w:szCs w:val="28"/>
        </w:rPr>
        <w:t>系统所选设备在其领域内须具备先进性；系统功能、性能须充分显示数字电视的优势。</w:t>
      </w:r>
    </w:p>
    <w:p w14:paraId="55681900">
      <w:pPr>
        <w:widowControl/>
        <w:spacing w:after="120"/>
        <w:ind w:left="420" w:leftChars="200" w:firstLine="560" w:firstLineChars="200"/>
        <w:textAlignment w:val="baseline"/>
        <w:rPr>
          <w:rFonts w:ascii="Calibri" w:hAnsi="Calibri"/>
          <w:sz w:val="28"/>
          <w:szCs w:val="28"/>
        </w:rPr>
      </w:pPr>
    </w:p>
    <w:p w14:paraId="159409F7">
      <w:pPr>
        <w:snapToGrid w:val="0"/>
        <w:spacing w:line="360" w:lineRule="auto"/>
        <w:rPr>
          <w:rFonts w:ascii="宋体" w:hAnsi="宋体"/>
          <w:sz w:val="28"/>
          <w:szCs w:val="28"/>
        </w:rPr>
      </w:pPr>
      <w:r>
        <w:rPr>
          <w:rFonts w:hint="eastAsia" w:ascii="宋体" w:hAnsi="宋体"/>
          <w:sz w:val="28"/>
          <w:szCs w:val="28"/>
        </w:rPr>
        <w:t>(四)系统功能</w:t>
      </w:r>
      <w:r>
        <w:rPr>
          <w:rFonts w:ascii="宋体" w:hAnsi="宋体"/>
          <w:sz w:val="28"/>
          <w:szCs w:val="28"/>
        </w:rPr>
        <w:t>要求</w:t>
      </w:r>
    </w:p>
    <w:p w14:paraId="6B4F10F6">
      <w:pPr>
        <w:numPr>
          <w:ilvl w:val="0"/>
          <w:numId w:val="9"/>
        </w:numPr>
        <w:snapToGrid w:val="0"/>
        <w:spacing w:line="360" w:lineRule="auto"/>
        <w:rPr>
          <w:rFonts w:ascii="宋体" w:hAnsi="宋体"/>
          <w:sz w:val="28"/>
          <w:szCs w:val="28"/>
        </w:rPr>
      </w:pPr>
      <w:r>
        <w:rPr>
          <w:rFonts w:ascii="宋体" w:hAnsi="宋体"/>
          <w:sz w:val="28"/>
          <w:szCs w:val="28"/>
        </w:rPr>
        <w:t>★</w:t>
      </w:r>
      <w:r>
        <w:rPr>
          <w:rFonts w:hint="eastAsia" w:ascii="宋体" w:hAnsi="宋体"/>
          <w:sz w:val="28"/>
          <w:szCs w:val="28"/>
        </w:rPr>
        <w:t>完成基于DVB的SI（业务信息）的EPG发布系统。系统必须遵循国家标准《信息技术 运动图像及其伴音信息的通用编码第1部分：系统》（GB/17975.1-2000）（ISO/IEC13818-1:1996,MPEG 2）及广播电影电视行业标准化指导性技术文件《数字电视广播业务信息规范》（GY/Z 174-2001）(DVB的ETST EN 300468)，关于PSI/SI处理的标准，与传输有关的所有参数要求必须以DVB和MPEG-2标准为准，如DVB和MPEG-2对参数的要求相冲突，则必须以DVB标准为准。</w:t>
      </w:r>
    </w:p>
    <w:p w14:paraId="534A8B1A">
      <w:pPr>
        <w:numPr>
          <w:ilvl w:val="0"/>
          <w:numId w:val="9"/>
        </w:numPr>
        <w:snapToGrid w:val="0"/>
        <w:spacing w:line="360" w:lineRule="auto"/>
        <w:rPr>
          <w:rFonts w:ascii="宋体" w:hAnsi="宋体"/>
          <w:sz w:val="28"/>
          <w:szCs w:val="28"/>
        </w:rPr>
      </w:pPr>
      <w:r>
        <w:rPr>
          <w:rFonts w:hint="eastAsia" w:ascii="宋体" w:hAnsi="宋体"/>
          <w:sz w:val="28"/>
          <w:szCs w:val="28"/>
        </w:rPr>
        <w:t>设备可以兼容第三方厂商的设备。</w:t>
      </w:r>
    </w:p>
    <w:p w14:paraId="6DC74746">
      <w:pPr>
        <w:numPr>
          <w:ilvl w:val="0"/>
          <w:numId w:val="9"/>
        </w:numPr>
        <w:snapToGrid w:val="0"/>
        <w:spacing w:line="360" w:lineRule="auto"/>
        <w:rPr>
          <w:rFonts w:ascii="宋体" w:hAnsi="宋体"/>
          <w:sz w:val="28"/>
          <w:szCs w:val="28"/>
        </w:rPr>
      </w:pPr>
      <w:r>
        <w:rPr>
          <w:rFonts w:ascii="宋体" w:hAnsi="宋体"/>
          <w:sz w:val="28"/>
          <w:szCs w:val="28"/>
        </w:rPr>
        <w:t>★</w:t>
      </w:r>
      <w:r>
        <w:rPr>
          <w:rFonts w:hint="eastAsia" w:ascii="宋体" w:hAnsi="宋体"/>
          <w:sz w:val="28"/>
          <w:szCs w:val="28"/>
        </w:rPr>
        <w:t>全面支持EN 300468《Digital Video Broadcasting（DVB）Specification for Service Information （SI）in DVB systems》标准，支持该标准中描述的表格和描述符。</w:t>
      </w:r>
    </w:p>
    <w:p w14:paraId="110638AD">
      <w:pPr>
        <w:numPr>
          <w:ilvl w:val="0"/>
          <w:numId w:val="9"/>
        </w:numPr>
        <w:rPr>
          <w:rFonts w:ascii="宋体" w:hAnsi="宋体"/>
          <w:sz w:val="28"/>
          <w:szCs w:val="28"/>
        </w:rPr>
      </w:pPr>
      <w:r>
        <w:rPr>
          <w:rFonts w:hint="eastAsia" w:ascii="宋体" w:hAnsi="宋体"/>
          <w:sz w:val="28"/>
          <w:szCs w:val="28"/>
        </w:rPr>
        <w:t>可以为每一个表指定发送速率，每一个传输流中可灵活选择发送PAT、PMT、CAT、NIT、SDT、BAT、EIT、TDT、TOT，其中NIT、SDT、EIT包括Actual和Other类型，EIT包括Schedule和P/F类型，可以灵活选择发送上述表中的描述符。</w:t>
      </w:r>
    </w:p>
    <w:p w14:paraId="36B8FC38">
      <w:pPr>
        <w:numPr>
          <w:ilvl w:val="0"/>
          <w:numId w:val="9"/>
        </w:numPr>
        <w:snapToGrid w:val="0"/>
        <w:spacing w:line="360" w:lineRule="auto"/>
        <w:rPr>
          <w:rFonts w:ascii="宋体" w:hAnsi="宋体"/>
          <w:sz w:val="28"/>
          <w:szCs w:val="28"/>
        </w:rPr>
      </w:pPr>
      <w:r>
        <w:rPr>
          <w:rFonts w:hint="eastAsia" w:ascii="宋体" w:hAnsi="宋体"/>
          <w:sz w:val="28"/>
          <w:szCs w:val="28"/>
        </w:rPr>
        <w:t>系统应具有良好的扩展性，应以数据库为核心，软件模块之间均是通过数据库相互连接。</w:t>
      </w:r>
    </w:p>
    <w:p w14:paraId="71B0D319">
      <w:pPr>
        <w:numPr>
          <w:ilvl w:val="0"/>
          <w:numId w:val="9"/>
        </w:numPr>
        <w:snapToGrid w:val="0"/>
        <w:spacing w:line="360" w:lineRule="auto"/>
        <w:rPr>
          <w:rFonts w:ascii="宋体" w:hAnsi="宋体"/>
          <w:sz w:val="28"/>
          <w:szCs w:val="28"/>
        </w:rPr>
      </w:pPr>
      <w:r>
        <w:rPr>
          <w:rFonts w:ascii="宋体" w:hAnsi="宋体"/>
          <w:sz w:val="28"/>
          <w:szCs w:val="28"/>
        </w:rPr>
        <w:t>★</w:t>
      </w:r>
      <w:r>
        <w:rPr>
          <w:rFonts w:hint="eastAsia" w:ascii="宋体" w:hAnsi="宋体"/>
          <w:sz w:val="28"/>
          <w:szCs w:val="28"/>
        </w:rPr>
        <w:t>支持多种方式的节目编辑与生成：支持节目单的导入、导出，能自动获已完成ChinaEPG格式节目单自动控制，支持动态调整每个表的发送周期，灵活修改发送参数。</w:t>
      </w:r>
    </w:p>
    <w:p w14:paraId="279F4F5C">
      <w:pPr>
        <w:numPr>
          <w:ilvl w:val="0"/>
          <w:numId w:val="9"/>
        </w:numPr>
        <w:snapToGrid w:val="0"/>
        <w:spacing w:line="360" w:lineRule="auto"/>
        <w:rPr>
          <w:rFonts w:ascii="宋体" w:hAnsi="宋体"/>
          <w:sz w:val="28"/>
          <w:szCs w:val="28"/>
        </w:rPr>
      </w:pPr>
      <w:r>
        <w:rPr>
          <w:rFonts w:hint="eastAsia" w:ascii="宋体" w:hAnsi="宋体"/>
          <w:sz w:val="28"/>
          <w:szCs w:val="28"/>
        </w:rPr>
        <w:t>支持不少于100个传输流300个业务7天的EPG发送。</w:t>
      </w:r>
    </w:p>
    <w:p w14:paraId="25B437D8">
      <w:pPr>
        <w:numPr>
          <w:ilvl w:val="0"/>
          <w:numId w:val="9"/>
        </w:numPr>
        <w:snapToGrid w:val="0"/>
        <w:spacing w:line="360" w:lineRule="auto"/>
        <w:rPr>
          <w:rFonts w:ascii="宋体" w:hAnsi="宋体"/>
          <w:sz w:val="28"/>
          <w:szCs w:val="28"/>
        </w:rPr>
      </w:pPr>
      <w:r>
        <w:rPr>
          <w:rFonts w:hint="eastAsia" w:ascii="宋体" w:hAnsi="宋体"/>
          <w:sz w:val="28"/>
          <w:szCs w:val="28"/>
        </w:rPr>
        <w:t>支持188/204包输出格式，信道编码符合广播电影电视行业标准《有线数字电视广播信道编码与调制规范》（CY/T170-2001）(ITU-TJ.83)</w:t>
      </w:r>
    </w:p>
    <w:p w14:paraId="0DCF0E85">
      <w:pPr>
        <w:numPr>
          <w:ilvl w:val="0"/>
          <w:numId w:val="9"/>
        </w:numPr>
        <w:snapToGrid w:val="0"/>
        <w:spacing w:line="360" w:lineRule="auto"/>
        <w:rPr>
          <w:rFonts w:ascii="宋体" w:hAnsi="宋体"/>
          <w:sz w:val="28"/>
          <w:szCs w:val="28"/>
        </w:rPr>
      </w:pPr>
      <w:r>
        <w:rPr>
          <w:rFonts w:hint="eastAsia" w:ascii="宋体" w:hAnsi="宋体"/>
          <w:sz w:val="28"/>
          <w:szCs w:val="28"/>
        </w:rPr>
        <w:t>具有与主要复用器产品和国内复用器产品实现集成经验。</w:t>
      </w:r>
    </w:p>
    <w:p w14:paraId="5B6CCEDE">
      <w:pPr>
        <w:numPr>
          <w:ilvl w:val="0"/>
          <w:numId w:val="9"/>
        </w:numPr>
        <w:snapToGrid w:val="0"/>
        <w:spacing w:line="360" w:lineRule="auto"/>
        <w:rPr>
          <w:rFonts w:ascii="宋体" w:hAnsi="宋体"/>
          <w:sz w:val="28"/>
          <w:szCs w:val="28"/>
        </w:rPr>
      </w:pPr>
      <w:r>
        <w:rPr>
          <w:rFonts w:hint="eastAsia" w:ascii="宋体" w:hAnsi="宋体"/>
          <w:sz w:val="28"/>
          <w:szCs w:val="28"/>
        </w:rPr>
        <w:t>软件界面友好方便，说明文件和帮助文件齐全。</w:t>
      </w:r>
    </w:p>
    <w:p w14:paraId="78491095">
      <w:pPr>
        <w:numPr>
          <w:ilvl w:val="0"/>
          <w:numId w:val="9"/>
        </w:numPr>
        <w:snapToGrid w:val="0"/>
        <w:spacing w:line="360" w:lineRule="auto"/>
        <w:rPr>
          <w:rFonts w:ascii="宋体" w:hAnsi="宋体"/>
          <w:sz w:val="28"/>
          <w:szCs w:val="28"/>
        </w:rPr>
      </w:pPr>
      <w:r>
        <w:rPr>
          <w:rFonts w:ascii="Segoe UI Symbol" w:hAnsi="Segoe UI Symbol" w:cs="Segoe UI Symbol"/>
          <w:sz w:val="28"/>
          <w:szCs w:val="28"/>
        </w:rPr>
        <w:t>★</w:t>
      </w:r>
      <w:r>
        <w:rPr>
          <w:rFonts w:hint="eastAsia" w:ascii="宋体" w:hAnsi="宋体"/>
          <w:sz w:val="28"/>
          <w:szCs w:val="28"/>
        </w:rPr>
        <w:t>必须承诺完成与本项目所采购的复用器，流处理器等设备完成SI信息的集成工作。</w:t>
      </w:r>
    </w:p>
    <w:p w14:paraId="260E2096">
      <w:pPr>
        <w:numPr>
          <w:ilvl w:val="0"/>
          <w:numId w:val="9"/>
        </w:numPr>
        <w:snapToGrid w:val="0"/>
        <w:spacing w:line="360" w:lineRule="auto"/>
        <w:rPr>
          <w:rFonts w:ascii="宋体" w:hAnsi="宋体"/>
          <w:sz w:val="28"/>
          <w:szCs w:val="28"/>
        </w:rPr>
      </w:pPr>
      <w:r>
        <w:rPr>
          <w:rFonts w:hint="eastAsia" w:ascii="宋体" w:hAnsi="宋体"/>
          <w:sz w:val="28"/>
          <w:szCs w:val="28"/>
        </w:rPr>
        <w:t>支持多种格式文件导入功能。</w:t>
      </w:r>
    </w:p>
    <w:p w14:paraId="0704E919">
      <w:pPr>
        <w:numPr>
          <w:ilvl w:val="0"/>
          <w:numId w:val="9"/>
        </w:numPr>
        <w:snapToGrid w:val="0"/>
        <w:spacing w:line="360" w:lineRule="auto"/>
        <w:rPr>
          <w:rFonts w:ascii="宋体" w:hAnsi="宋体"/>
          <w:sz w:val="28"/>
          <w:szCs w:val="28"/>
        </w:rPr>
      </w:pPr>
      <w:r>
        <w:rPr>
          <w:rFonts w:hint="eastAsia" w:ascii="宋体" w:hAnsi="宋体" w:cs="宋体"/>
          <w:color w:val="000000"/>
          <w:sz w:val="28"/>
          <w:szCs w:val="28"/>
        </w:rPr>
        <w:t>支持多NIT。</w:t>
      </w:r>
    </w:p>
    <w:p w14:paraId="626F05F3">
      <w:pPr>
        <w:numPr>
          <w:ilvl w:val="0"/>
          <w:numId w:val="9"/>
        </w:numPr>
        <w:snapToGrid w:val="0"/>
        <w:spacing w:line="360" w:lineRule="auto"/>
        <w:rPr>
          <w:rFonts w:ascii="宋体" w:hAnsi="宋体"/>
          <w:sz w:val="28"/>
          <w:szCs w:val="28"/>
        </w:rPr>
      </w:pPr>
      <w:r>
        <w:rPr>
          <w:rFonts w:ascii="Segoe UI Symbol" w:hAnsi="Segoe UI Symbol" w:cs="Segoe UI Symbol"/>
          <w:sz w:val="28"/>
          <w:szCs w:val="28"/>
        </w:rPr>
        <w:t>★</w:t>
      </w:r>
      <w:r>
        <w:rPr>
          <w:rFonts w:hint="eastAsia" w:ascii="宋体" w:hAnsi="宋体"/>
          <w:sz w:val="28"/>
          <w:szCs w:val="28"/>
        </w:rPr>
        <w:t>报价人必须承诺可以完成目前原平台EPG系统的所有功能，可以对现有平台进行平滑升级。</w:t>
      </w:r>
    </w:p>
    <w:p w14:paraId="58441903">
      <w:pPr>
        <w:numPr>
          <w:ilvl w:val="0"/>
          <w:numId w:val="9"/>
        </w:numPr>
        <w:snapToGrid w:val="0"/>
        <w:spacing w:line="360" w:lineRule="auto"/>
        <w:rPr>
          <w:rFonts w:ascii="宋体" w:hAnsi="宋体"/>
          <w:sz w:val="28"/>
          <w:szCs w:val="28"/>
        </w:rPr>
      </w:pPr>
      <w:r>
        <w:rPr>
          <w:rFonts w:hint="eastAsia" w:ascii="宋体" w:hAnsi="宋体"/>
          <w:sz w:val="28"/>
          <w:szCs w:val="28"/>
        </w:rPr>
        <w:t>支持ASI/IP输出，支持管理多台播出设备，满足各种播出设备组合的应用需求。</w:t>
      </w:r>
    </w:p>
    <w:p w14:paraId="47806AD8">
      <w:pPr>
        <w:numPr>
          <w:ilvl w:val="0"/>
          <w:numId w:val="9"/>
        </w:numPr>
        <w:snapToGrid w:val="0"/>
        <w:spacing w:line="360" w:lineRule="auto"/>
        <w:rPr>
          <w:rFonts w:ascii="宋体" w:hAnsi="宋体"/>
          <w:sz w:val="28"/>
          <w:szCs w:val="28"/>
        </w:rPr>
      </w:pPr>
      <w:r>
        <w:rPr>
          <w:rFonts w:hint="eastAsia" w:ascii="宋体" w:hAnsi="宋体"/>
          <w:sz w:val="28"/>
          <w:szCs w:val="28"/>
        </w:rPr>
        <w:t>灵活的PSI/SI表播发机制支持网络、传输流、业务三级控制，支持私有描述符数据文件、TXT/XML节目单的自动加载并触发完成相关表的更新生成和发送。</w:t>
      </w:r>
    </w:p>
    <w:p w14:paraId="248FC9BF">
      <w:pPr>
        <w:numPr>
          <w:ilvl w:val="0"/>
          <w:numId w:val="9"/>
        </w:numPr>
        <w:snapToGrid w:val="0"/>
        <w:spacing w:line="360" w:lineRule="auto"/>
        <w:rPr>
          <w:rFonts w:ascii="宋体" w:hAnsi="宋体"/>
          <w:sz w:val="28"/>
          <w:szCs w:val="28"/>
        </w:rPr>
      </w:pPr>
      <w:r>
        <w:rPr>
          <w:rFonts w:hint="eastAsia" w:ascii="宋体" w:hAnsi="宋体"/>
          <w:sz w:val="28"/>
          <w:szCs w:val="28"/>
        </w:rPr>
        <w:t>系统稳定、可靠，充分考虑冗余备份、第三方集成、系统扩展等。</w:t>
      </w:r>
    </w:p>
    <w:p w14:paraId="3B3B5FBB">
      <w:pPr>
        <w:numPr>
          <w:ilvl w:val="0"/>
          <w:numId w:val="9"/>
        </w:numPr>
        <w:snapToGrid w:val="0"/>
        <w:spacing w:line="360" w:lineRule="auto"/>
        <w:rPr>
          <w:rFonts w:ascii="宋体" w:hAnsi="宋体"/>
          <w:sz w:val="28"/>
          <w:szCs w:val="28"/>
        </w:rPr>
      </w:pPr>
      <w:r>
        <w:rPr>
          <w:rFonts w:hint="eastAsia" w:ascii="宋体" w:hAnsi="宋体"/>
          <w:sz w:val="28"/>
          <w:szCs w:val="28"/>
        </w:rPr>
        <w:t>投标的EPG系统应具备一定的同类市场占用率，</w:t>
      </w:r>
      <w:r>
        <w:rPr>
          <w:rFonts w:ascii="宋体" w:hAnsi="宋体"/>
          <w:sz w:val="28"/>
          <w:szCs w:val="28"/>
        </w:rPr>
        <w:t>报价人</w:t>
      </w:r>
      <w:r>
        <w:rPr>
          <w:rFonts w:hint="eastAsia" w:ascii="宋体" w:hAnsi="宋体"/>
          <w:sz w:val="28"/>
          <w:szCs w:val="28"/>
        </w:rPr>
        <w:t>请描述同类的成功市场案例以方便采购人评估。</w:t>
      </w:r>
    </w:p>
    <w:p w14:paraId="6FD45D60">
      <w:pPr>
        <w:numPr>
          <w:ilvl w:val="0"/>
          <w:numId w:val="9"/>
        </w:numPr>
        <w:snapToGrid w:val="0"/>
        <w:spacing w:line="360" w:lineRule="auto"/>
        <w:rPr>
          <w:rFonts w:ascii="宋体" w:hAnsi="宋体"/>
          <w:sz w:val="28"/>
          <w:szCs w:val="28"/>
        </w:rPr>
      </w:pPr>
      <w:r>
        <w:rPr>
          <w:rFonts w:hint="eastAsia" w:ascii="Calibri" w:hAnsi="Calibri"/>
          <w:sz w:val="28"/>
          <w:szCs w:val="28"/>
        </w:rPr>
        <w:t>由于目前汕尾和陆丰两地节目内容以及排序规则不一样，所以还需要针对2个地区发送不同的相关节目信息表。</w:t>
      </w:r>
    </w:p>
    <w:p w14:paraId="7C6E805A">
      <w:pPr>
        <w:widowControl/>
        <w:jc w:val="left"/>
        <w:rPr>
          <w:rFonts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采购设备清单</w:t>
      </w:r>
    </w:p>
    <w:tbl>
      <w:tblPr>
        <w:tblStyle w:val="54"/>
        <w:tblW w:w="8108" w:type="dxa"/>
        <w:tblInd w:w="113" w:type="dxa"/>
        <w:tblLayout w:type="autofit"/>
        <w:tblCellMar>
          <w:top w:w="0" w:type="dxa"/>
          <w:left w:w="0" w:type="dxa"/>
          <w:bottom w:w="0" w:type="dxa"/>
          <w:right w:w="0" w:type="dxa"/>
        </w:tblCellMar>
      </w:tblPr>
      <w:tblGrid>
        <w:gridCol w:w="923"/>
        <w:gridCol w:w="1907"/>
        <w:gridCol w:w="3686"/>
        <w:gridCol w:w="600"/>
        <w:gridCol w:w="992"/>
      </w:tblGrid>
      <w:tr w14:paraId="7017606B">
        <w:tblPrEx>
          <w:tblCellMar>
            <w:top w:w="0" w:type="dxa"/>
            <w:left w:w="0" w:type="dxa"/>
            <w:bottom w:w="0" w:type="dxa"/>
            <w:right w:w="0" w:type="dxa"/>
          </w:tblCellMar>
        </w:tblPrEx>
        <w:trPr>
          <w:trHeight w:val="380" w:hRule="atLeast"/>
        </w:trPr>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363F0A9C">
            <w:pPr>
              <w:snapToGrid w:val="0"/>
              <w:jc w:val="center"/>
              <w:rPr>
                <w:rFonts w:ascii="宋体" w:hAnsi="宋体"/>
                <w:sz w:val="28"/>
                <w:szCs w:val="28"/>
              </w:rPr>
            </w:pPr>
            <w:r>
              <w:rPr>
                <w:rFonts w:ascii="宋体" w:hAnsi="宋体"/>
                <w:sz w:val="28"/>
                <w:szCs w:val="28"/>
              </w:rPr>
              <w:t>序号</w:t>
            </w:r>
          </w:p>
        </w:tc>
        <w:tc>
          <w:tcPr>
            <w:tcW w:w="1907" w:type="dxa"/>
            <w:vMerge w:val="restart"/>
            <w:tcBorders>
              <w:top w:val="single" w:color="000000" w:sz="4" w:space="0"/>
              <w:left w:val="single" w:color="000000" w:sz="4" w:space="0"/>
              <w:bottom w:val="single" w:color="000000" w:sz="4" w:space="0"/>
              <w:right w:val="single" w:color="000000" w:sz="4" w:space="0"/>
            </w:tcBorders>
            <w:vAlign w:val="center"/>
          </w:tcPr>
          <w:p w14:paraId="2B86DDB6">
            <w:pPr>
              <w:snapToGrid w:val="0"/>
              <w:jc w:val="center"/>
              <w:rPr>
                <w:rFonts w:ascii="宋体" w:hAnsi="宋体"/>
                <w:sz w:val="28"/>
                <w:szCs w:val="28"/>
              </w:rPr>
            </w:pPr>
            <w:r>
              <w:rPr>
                <w:rFonts w:ascii="宋体" w:hAnsi="宋体"/>
                <w:sz w:val="28"/>
                <w:szCs w:val="28"/>
              </w:rPr>
              <w:t>产品名称</w:t>
            </w:r>
          </w:p>
        </w:tc>
        <w:tc>
          <w:tcPr>
            <w:tcW w:w="3686" w:type="dxa"/>
            <w:vMerge w:val="restart"/>
            <w:tcBorders>
              <w:top w:val="single" w:color="000000" w:sz="4" w:space="0"/>
              <w:left w:val="single" w:color="000000" w:sz="4" w:space="0"/>
              <w:bottom w:val="single" w:color="000000" w:sz="4" w:space="0"/>
              <w:right w:val="single" w:color="000000" w:sz="4" w:space="0"/>
            </w:tcBorders>
            <w:vAlign w:val="center"/>
          </w:tcPr>
          <w:p w14:paraId="6FF45D31">
            <w:pPr>
              <w:snapToGrid w:val="0"/>
              <w:jc w:val="center"/>
              <w:rPr>
                <w:rFonts w:ascii="宋体" w:hAnsi="宋体"/>
                <w:sz w:val="28"/>
                <w:szCs w:val="28"/>
              </w:rPr>
            </w:pPr>
            <w:r>
              <w:rPr>
                <w:rFonts w:ascii="宋体" w:hAnsi="宋体"/>
                <w:sz w:val="28"/>
                <w:szCs w:val="28"/>
              </w:rPr>
              <w:t>配置要求</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14:paraId="0CA804FC">
            <w:pPr>
              <w:snapToGrid w:val="0"/>
              <w:jc w:val="center"/>
              <w:rPr>
                <w:rFonts w:ascii="宋体" w:hAnsi="宋体"/>
                <w:sz w:val="28"/>
                <w:szCs w:val="28"/>
              </w:rPr>
            </w:pPr>
            <w:r>
              <w:rPr>
                <w:rFonts w:ascii="宋体" w:hAnsi="宋体"/>
                <w:sz w:val="28"/>
                <w:szCs w:val="28"/>
              </w:rPr>
              <w:t>数量</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24D3E57B">
            <w:pPr>
              <w:snapToGrid w:val="0"/>
              <w:jc w:val="center"/>
              <w:rPr>
                <w:rFonts w:ascii="宋体" w:hAnsi="宋体"/>
                <w:sz w:val="28"/>
                <w:szCs w:val="28"/>
              </w:rPr>
            </w:pPr>
            <w:r>
              <w:rPr>
                <w:rFonts w:ascii="宋体" w:hAnsi="宋体"/>
                <w:sz w:val="28"/>
                <w:szCs w:val="28"/>
              </w:rPr>
              <w:t>单位</w:t>
            </w:r>
          </w:p>
        </w:tc>
      </w:tr>
      <w:tr w14:paraId="11F509D5">
        <w:tblPrEx>
          <w:tblCellMar>
            <w:top w:w="0" w:type="dxa"/>
            <w:left w:w="0" w:type="dxa"/>
            <w:bottom w:w="0" w:type="dxa"/>
            <w:right w:w="0" w:type="dxa"/>
          </w:tblCellMar>
        </w:tblPrEx>
        <w:trPr>
          <w:trHeight w:val="363" w:hRule="atLeast"/>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BDAE6AD">
            <w:pPr>
              <w:snapToGrid w:val="0"/>
              <w:jc w:val="left"/>
              <w:rPr>
                <w:rFonts w:ascii="宋体" w:hAnsi="宋体"/>
                <w:sz w:val="28"/>
                <w:szCs w:val="28"/>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14:paraId="27D053CA">
            <w:pPr>
              <w:snapToGrid w:val="0"/>
              <w:jc w:val="left"/>
              <w:rPr>
                <w:rFonts w:ascii="宋体" w:hAnsi="宋体"/>
                <w:sz w:val="28"/>
                <w:szCs w:val="28"/>
              </w:rPr>
            </w:pPr>
          </w:p>
        </w:tc>
        <w:tc>
          <w:tcPr>
            <w:tcW w:w="3686" w:type="dxa"/>
            <w:vMerge w:val="continue"/>
            <w:tcBorders>
              <w:top w:val="single" w:color="000000" w:sz="4" w:space="0"/>
              <w:left w:val="single" w:color="000000" w:sz="4" w:space="0"/>
              <w:bottom w:val="single" w:color="000000" w:sz="4" w:space="0"/>
              <w:right w:val="single" w:color="000000" w:sz="4" w:space="0"/>
            </w:tcBorders>
            <w:vAlign w:val="center"/>
          </w:tcPr>
          <w:p w14:paraId="7E2B3728">
            <w:pPr>
              <w:snapToGrid w:val="0"/>
              <w:jc w:val="left"/>
              <w:rPr>
                <w:rFonts w:ascii="宋体" w:hAnsi="宋体"/>
                <w:sz w:val="28"/>
                <w:szCs w:val="28"/>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5AF0045F">
            <w:pPr>
              <w:snapToGrid w:val="0"/>
              <w:jc w:val="left"/>
              <w:rPr>
                <w:rFonts w:ascii="宋体" w:hAnsi="宋体"/>
                <w:sz w:val="28"/>
                <w:szCs w:val="2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44E4A0AE">
            <w:pPr>
              <w:snapToGrid w:val="0"/>
              <w:jc w:val="left"/>
              <w:rPr>
                <w:rFonts w:ascii="宋体" w:hAnsi="宋体"/>
                <w:sz w:val="28"/>
                <w:szCs w:val="28"/>
              </w:rPr>
            </w:pPr>
          </w:p>
        </w:tc>
      </w:tr>
      <w:tr w14:paraId="66B8C103">
        <w:tblPrEx>
          <w:tblCellMar>
            <w:top w:w="0" w:type="dxa"/>
            <w:left w:w="0" w:type="dxa"/>
            <w:bottom w:w="0" w:type="dxa"/>
            <w:right w:w="0" w:type="dxa"/>
          </w:tblCellMar>
        </w:tblPrEx>
        <w:trPr>
          <w:trHeight w:val="898" w:hRule="atLeast"/>
        </w:trPr>
        <w:tc>
          <w:tcPr>
            <w:tcW w:w="923" w:type="dxa"/>
            <w:tcBorders>
              <w:top w:val="nil"/>
              <w:left w:val="single" w:color="000000" w:sz="4" w:space="0"/>
              <w:bottom w:val="single" w:color="000000" w:sz="4" w:space="0"/>
              <w:right w:val="single" w:color="000000" w:sz="4" w:space="0"/>
            </w:tcBorders>
            <w:vAlign w:val="center"/>
          </w:tcPr>
          <w:p w14:paraId="0086E2F6">
            <w:pPr>
              <w:snapToGrid w:val="0"/>
              <w:jc w:val="center"/>
              <w:rPr>
                <w:rFonts w:ascii="宋体" w:hAnsi="宋体"/>
                <w:sz w:val="28"/>
                <w:szCs w:val="28"/>
              </w:rPr>
            </w:pPr>
            <w:r>
              <w:rPr>
                <w:rFonts w:ascii="宋体" w:hAnsi="宋体"/>
                <w:sz w:val="28"/>
                <w:szCs w:val="28"/>
              </w:rPr>
              <w:t>1</w:t>
            </w:r>
          </w:p>
        </w:tc>
        <w:tc>
          <w:tcPr>
            <w:tcW w:w="1907" w:type="dxa"/>
            <w:tcBorders>
              <w:top w:val="nil"/>
              <w:left w:val="nil"/>
              <w:bottom w:val="single" w:color="000000" w:sz="4" w:space="0"/>
              <w:right w:val="single" w:color="000000" w:sz="4" w:space="0"/>
            </w:tcBorders>
            <w:vAlign w:val="center"/>
          </w:tcPr>
          <w:p w14:paraId="51BD9BC8">
            <w:pPr>
              <w:snapToGrid w:val="0"/>
              <w:jc w:val="center"/>
              <w:rPr>
                <w:rFonts w:ascii="宋体" w:hAnsi="宋体"/>
                <w:sz w:val="28"/>
                <w:szCs w:val="28"/>
              </w:rPr>
            </w:pPr>
            <w:r>
              <w:rPr>
                <w:rFonts w:hint="eastAsia" w:ascii="宋体" w:hAnsi="宋体" w:cs="宋体"/>
                <w:color w:val="000000"/>
                <w:kern w:val="0"/>
                <w:sz w:val="28"/>
                <w:szCs w:val="28"/>
              </w:rPr>
              <w:t>EPG系统软件</w:t>
            </w:r>
          </w:p>
        </w:tc>
        <w:tc>
          <w:tcPr>
            <w:tcW w:w="3686" w:type="dxa"/>
            <w:tcBorders>
              <w:top w:val="nil"/>
              <w:left w:val="nil"/>
              <w:bottom w:val="single" w:color="000000" w:sz="4" w:space="0"/>
              <w:right w:val="single" w:color="000000" w:sz="4" w:space="0"/>
            </w:tcBorders>
            <w:vAlign w:val="center"/>
          </w:tcPr>
          <w:p w14:paraId="720E2C22">
            <w:pPr>
              <w:snapToGrid w:val="0"/>
              <w:jc w:val="center"/>
              <w:rPr>
                <w:rFonts w:ascii="宋体" w:hAnsi="宋体"/>
                <w:sz w:val="28"/>
                <w:szCs w:val="28"/>
              </w:rPr>
            </w:pPr>
            <w:r>
              <w:rPr>
                <w:rFonts w:hint="eastAsia" w:ascii="宋体" w:hAnsi="宋体" w:cs="宋体"/>
                <w:color w:val="000000"/>
                <w:kern w:val="0"/>
                <w:sz w:val="28"/>
                <w:szCs w:val="28"/>
              </w:rPr>
              <w:t>满足本章节技术要求　</w:t>
            </w:r>
          </w:p>
        </w:tc>
        <w:tc>
          <w:tcPr>
            <w:tcW w:w="600" w:type="dxa"/>
            <w:tcBorders>
              <w:top w:val="nil"/>
              <w:left w:val="nil"/>
              <w:bottom w:val="single" w:color="000000" w:sz="4" w:space="0"/>
              <w:right w:val="single" w:color="000000" w:sz="4" w:space="0"/>
            </w:tcBorders>
            <w:vAlign w:val="center"/>
          </w:tcPr>
          <w:p w14:paraId="24C00FE9">
            <w:pPr>
              <w:snapToGrid w:val="0"/>
              <w:jc w:val="center"/>
              <w:rPr>
                <w:rFonts w:ascii="宋体" w:hAnsi="宋体"/>
                <w:sz w:val="28"/>
                <w:szCs w:val="28"/>
              </w:rPr>
            </w:pPr>
            <w:r>
              <w:rPr>
                <w:rFonts w:hint="eastAsia" w:ascii="宋体" w:hAnsi="宋体"/>
                <w:sz w:val="28"/>
                <w:szCs w:val="28"/>
              </w:rPr>
              <w:t>2</w:t>
            </w:r>
          </w:p>
        </w:tc>
        <w:tc>
          <w:tcPr>
            <w:tcW w:w="992" w:type="dxa"/>
            <w:tcBorders>
              <w:top w:val="nil"/>
              <w:left w:val="nil"/>
              <w:bottom w:val="single" w:color="000000" w:sz="4" w:space="0"/>
              <w:right w:val="single" w:color="000000" w:sz="4" w:space="0"/>
            </w:tcBorders>
            <w:vAlign w:val="center"/>
          </w:tcPr>
          <w:p w14:paraId="772F2559">
            <w:pPr>
              <w:snapToGrid w:val="0"/>
              <w:jc w:val="center"/>
              <w:rPr>
                <w:rFonts w:ascii="宋体" w:hAnsi="宋体"/>
                <w:sz w:val="28"/>
                <w:szCs w:val="28"/>
              </w:rPr>
            </w:pPr>
            <w:r>
              <w:rPr>
                <w:rFonts w:hint="eastAsia" w:ascii="宋体" w:hAnsi="宋体"/>
                <w:sz w:val="28"/>
                <w:szCs w:val="28"/>
              </w:rPr>
              <w:t>套</w:t>
            </w:r>
          </w:p>
        </w:tc>
      </w:tr>
      <w:tr w14:paraId="4666D0F3">
        <w:tblPrEx>
          <w:tblCellMar>
            <w:top w:w="0" w:type="dxa"/>
            <w:left w:w="0" w:type="dxa"/>
            <w:bottom w:w="0" w:type="dxa"/>
            <w:right w:w="0" w:type="dxa"/>
          </w:tblCellMar>
        </w:tblPrEx>
        <w:trPr>
          <w:trHeight w:val="387" w:hRule="atLeast"/>
        </w:trPr>
        <w:tc>
          <w:tcPr>
            <w:tcW w:w="923" w:type="dxa"/>
            <w:tcBorders>
              <w:top w:val="nil"/>
              <w:left w:val="single" w:color="000000" w:sz="4" w:space="0"/>
              <w:bottom w:val="single" w:color="000000" w:sz="4" w:space="0"/>
              <w:right w:val="single" w:color="000000" w:sz="4" w:space="0"/>
            </w:tcBorders>
            <w:vAlign w:val="center"/>
          </w:tcPr>
          <w:p w14:paraId="58D18FB1">
            <w:pPr>
              <w:snapToGrid w:val="0"/>
              <w:jc w:val="center"/>
              <w:rPr>
                <w:rFonts w:ascii="宋体" w:hAnsi="宋体"/>
                <w:sz w:val="28"/>
                <w:szCs w:val="28"/>
              </w:rPr>
            </w:pPr>
            <w:r>
              <w:rPr>
                <w:rFonts w:ascii="宋体" w:hAnsi="宋体"/>
                <w:sz w:val="28"/>
                <w:szCs w:val="28"/>
              </w:rPr>
              <w:t>2</w:t>
            </w:r>
          </w:p>
        </w:tc>
        <w:tc>
          <w:tcPr>
            <w:tcW w:w="1907" w:type="dxa"/>
            <w:tcBorders>
              <w:top w:val="nil"/>
              <w:left w:val="nil"/>
              <w:bottom w:val="single" w:color="000000" w:sz="4" w:space="0"/>
              <w:right w:val="single" w:color="000000" w:sz="4" w:space="0"/>
            </w:tcBorders>
            <w:vAlign w:val="center"/>
          </w:tcPr>
          <w:p w14:paraId="7A825FF3">
            <w:pPr>
              <w:snapToGrid w:val="0"/>
              <w:jc w:val="center"/>
              <w:rPr>
                <w:rFonts w:ascii="宋体" w:hAnsi="宋体"/>
                <w:sz w:val="28"/>
                <w:szCs w:val="28"/>
              </w:rPr>
            </w:pPr>
            <w:r>
              <w:rPr>
                <w:rFonts w:hint="eastAsia" w:ascii="宋体" w:hAnsi="宋体"/>
                <w:sz w:val="28"/>
                <w:szCs w:val="28"/>
              </w:rPr>
              <w:t>双机软件</w:t>
            </w:r>
          </w:p>
        </w:tc>
        <w:tc>
          <w:tcPr>
            <w:tcW w:w="3686" w:type="dxa"/>
            <w:tcBorders>
              <w:top w:val="nil"/>
              <w:left w:val="nil"/>
              <w:bottom w:val="single" w:color="000000" w:sz="4" w:space="0"/>
              <w:right w:val="single" w:color="000000" w:sz="4" w:space="0"/>
            </w:tcBorders>
            <w:vAlign w:val="center"/>
          </w:tcPr>
          <w:p w14:paraId="76A7E7A2">
            <w:pPr>
              <w:snapToGrid w:val="0"/>
              <w:jc w:val="center"/>
              <w:rPr>
                <w:rFonts w:ascii="宋体" w:hAnsi="宋体"/>
                <w:sz w:val="28"/>
                <w:szCs w:val="28"/>
              </w:rPr>
            </w:pPr>
            <w:r>
              <w:rPr>
                <w:rFonts w:hint="eastAsia" w:ascii="宋体" w:hAnsi="宋体"/>
                <w:sz w:val="28"/>
                <w:szCs w:val="28"/>
              </w:rPr>
              <w:t>用于服务器双机热备</w:t>
            </w:r>
          </w:p>
        </w:tc>
        <w:tc>
          <w:tcPr>
            <w:tcW w:w="600" w:type="dxa"/>
            <w:tcBorders>
              <w:top w:val="nil"/>
              <w:left w:val="nil"/>
              <w:bottom w:val="single" w:color="000000" w:sz="4" w:space="0"/>
              <w:right w:val="single" w:color="000000" w:sz="4" w:space="0"/>
            </w:tcBorders>
            <w:vAlign w:val="center"/>
          </w:tcPr>
          <w:p w14:paraId="226E2385">
            <w:pPr>
              <w:snapToGrid w:val="0"/>
              <w:jc w:val="center"/>
              <w:rPr>
                <w:rFonts w:ascii="宋体" w:hAnsi="宋体"/>
                <w:sz w:val="28"/>
                <w:szCs w:val="28"/>
              </w:rPr>
            </w:pPr>
            <w:r>
              <w:rPr>
                <w:rFonts w:hint="eastAsia" w:ascii="宋体" w:hAnsi="宋体"/>
                <w:sz w:val="28"/>
                <w:szCs w:val="28"/>
              </w:rPr>
              <w:t>1</w:t>
            </w:r>
          </w:p>
        </w:tc>
        <w:tc>
          <w:tcPr>
            <w:tcW w:w="992" w:type="dxa"/>
            <w:tcBorders>
              <w:top w:val="nil"/>
              <w:left w:val="nil"/>
              <w:bottom w:val="single" w:color="000000" w:sz="4" w:space="0"/>
              <w:right w:val="single" w:color="000000" w:sz="4" w:space="0"/>
            </w:tcBorders>
            <w:vAlign w:val="center"/>
          </w:tcPr>
          <w:p w14:paraId="76556DEB">
            <w:pPr>
              <w:snapToGrid w:val="0"/>
              <w:jc w:val="center"/>
              <w:rPr>
                <w:rFonts w:ascii="宋体" w:hAnsi="宋体"/>
                <w:sz w:val="28"/>
                <w:szCs w:val="28"/>
              </w:rPr>
            </w:pPr>
            <w:r>
              <w:rPr>
                <w:rFonts w:hint="eastAsia" w:ascii="宋体" w:hAnsi="宋体"/>
                <w:sz w:val="28"/>
                <w:szCs w:val="28"/>
              </w:rPr>
              <w:t>套</w:t>
            </w:r>
          </w:p>
        </w:tc>
      </w:tr>
    </w:tbl>
    <w:p w14:paraId="66C8B7A2">
      <w:pPr>
        <w:numPr>
          <w:ilvl w:val="0"/>
          <w:numId w:val="5"/>
        </w:numPr>
        <w:adjustRightInd w:val="0"/>
        <w:spacing w:line="360" w:lineRule="auto"/>
        <w:ind w:left="426" w:hanging="426"/>
        <w:rPr>
          <w:rFonts w:ascii="宋体" w:hAnsi="宋体" w:cs="宋体"/>
          <w:b/>
          <w:kern w:val="0"/>
          <w:sz w:val="28"/>
          <w:szCs w:val="28"/>
        </w:rPr>
      </w:pPr>
      <w:r>
        <w:rPr>
          <w:rFonts w:hint="eastAsia" w:ascii="宋体" w:hAnsi="宋体" w:cs="宋体"/>
          <w:b/>
          <w:kern w:val="0"/>
          <w:sz w:val="28"/>
          <w:szCs w:val="28"/>
        </w:rPr>
        <w:t>商务要求</w:t>
      </w:r>
    </w:p>
    <w:p w14:paraId="3D39B04C">
      <w:pPr>
        <w:numPr>
          <w:ilvl w:val="0"/>
          <w:numId w:val="10"/>
        </w:numPr>
        <w:spacing w:line="360" w:lineRule="auto"/>
        <w:ind w:left="567" w:hanging="567"/>
        <w:rPr>
          <w:rFonts w:ascii="宋体" w:hAnsi="宋体" w:cs="宋体"/>
          <w:kern w:val="0"/>
          <w:sz w:val="28"/>
          <w:szCs w:val="28"/>
        </w:rPr>
      </w:pPr>
      <w:r>
        <w:rPr>
          <w:rFonts w:hint="eastAsia" w:ascii="宋体" w:hAnsi="宋体" w:cs="宋体"/>
          <w:b/>
          <w:kern w:val="0"/>
          <w:sz w:val="28"/>
          <w:szCs w:val="28"/>
        </w:rPr>
        <w:t>质保期及售后服务要求</w:t>
      </w:r>
    </w:p>
    <w:p w14:paraId="692D2368">
      <w:pPr>
        <w:numPr>
          <w:ilvl w:val="0"/>
          <w:numId w:val="11"/>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质量保证期（简称“质保期”）为3年，质保期内成交人对所供货物实行包修、包换、包退、包维护保养。</w:t>
      </w:r>
    </w:p>
    <w:p w14:paraId="03B437C8">
      <w:pPr>
        <w:numPr>
          <w:ilvl w:val="0"/>
          <w:numId w:val="11"/>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质保期内，如设备或零部件因非人为因素出现故障而造成短期停用时，则质保期和免费维修期相应顺延。如停用时间累计超过60天则质保期重新计算。</w:t>
      </w:r>
    </w:p>
    <w:p w14:paraId="33CCB5D2">
      <w:pPr>
        <w:numPr>
          <w:ilvl w:val="0"/>
          <w:numId w:val="11"/>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对采购人的服务通知，成交人在接报后1小时内响应，24小时内到达现场，48小时内处理完毕，提供7*24小时服务。若在48小时内仍未能有效解决，成交人须免费提供同档次的设备予采购人临时使用。</w:t>
      </w:r>
    </w:p>
    <w:p w14:paraId="4F67FBAD">
      <w:pPr>
        <w:numPr>
          <w:ilvl w:val="0"/>
          <w:numId w:val="10"/>
        </w:numPr>
        <w:spacing w:line="360" w:lineRule="auto"/>
        <w:ind w:left="567" w:hanging="567"/>
        <w:rPr>
          <w:rFonts w:ascii="宋体" w:hAnsi="宋体" w:cs="宋体"/>
          <w:b/>
          <w:kern w:val="0"/>
          <w:sz w:val="28"/>
          <w:szCs w:val="28"/>
        </w:rPr>
      </w:pPr>
      <w:r>
        <w:rPr>
          <w:rFonts w:hint="eastAsia" w:ascii="宋体" w:hAnsi="宋体" w:cs="宋体"/>
          <w:b/>
          <w:kern w:val="0"/>
          <w:sz w:val="28"/>
          <w:szCs w:val="28"/>
        </w:rPr>
        <w:t>包装、保险及发运、保管要求</w:t>
      </w:r>
    </w:p>
    <w:p w14:paraId="632EF323">
      <w:pPr>
        <w:numPr>
          <w:ilvl w:val="0"/>
          <w:numId w:val="12"/>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设备材料的包装必须是制造商原厂包装，其包装均应有良好的防湿、防锈、防潮、防雨、防腐及防碰撞的措施。凡由于包装不良造成的损失和由此产生的费用均由投标人承担。</w:t>
      </w:r>
    </w:p>
    <w:p w14:paraId="1B327702">
      <w:pPr>
        <w:numPr>
          <w:ilvl w:val="0"/>
          <w:numId w:val="12"/>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成交人负责将设备材料货到现场过程中的全部运输，包括装卸车、货物现场的搬运。</w:t>
      </w:r>
    </w:p>
    <w:p w14:paraId="7A0C53C7">
      <w:pPr>
        <w:numPr>
          <w:ilvl w:val="0"/>
          <w:numId w:val="12"/>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设备必须提供装箱清单，按装箱清单验收货物。</w:t>
      </w:r>
    </w:p>
    <w:p w14:paraId="45F6E125">
      <w:pPr>
        <w:numPr>
          <w:ilvl w:val="0"/>
          <w:numId w:val="12"/>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货物在现场的保管由成交人负责，直至货物验收完毕。</w:t>
      </w:r>
    </w:p>
    <w:p w14:paraId="2B2818FE">
      <w:pPr>
        <w:numPr>
          <w:ilvl w:val="0"/>
          <w:numId w:val="12"/>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货物在调试验收合格前的保险由成交人负责，成交人负责其派出的现场服务人员人身意外保险。</w:t>
      </w:r>
    </w:p>
    <w:p w14:paraId="3C5385DD">
      <w:pPr>
        <w:numPr>
          <w:ilvl w:val="0"/>
          <w:numId w:val="12"/>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设备至采购人指定的使用现场的包装、保险及发运等环节和费用均由成交人负责。</w:t>
      </w:r>
    </w:p>
    <w:p w14:paraId="6B4354F6">
      <w:pPr>
        <w:numPr>
          <w:ilvl w:val="0"/>
          <w:numId w:val="10"/>
        </w:numPr>
        <w:spacing w:line="360" w:lineRule="auto"/>
        <w:ind w:left="567" w:hanging="567"/>
        <w:rPr>
          <w:rFonts w:ascii="宋体" w:hAnsi="宋体" w:cs="宋体"/>
          <w:b/>
          <w:kern w:val="0"/>
          <w:sz w:val="28"/>
          <w:szCs w:val="28"/>
        </w:rPr>
      </w:pPr>
      <w:r>
        <w:rPr>
          <w:rFonts w:hint="eastAsia" w:ascii="宋体" w:hAnsi="宋体" w:cs="宋体"/>
          <w:b/>
          <w:kern w:val="0"/>
          <w:sz w:val="28"/>
          <w:szCs w:val="28"/>
        </w:rPr>
        <w:t>调试与验收</w:t>
      </w:r>
    </w:p>
    <w:p w14:paraId="111F4DDE">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成交人必须依照招标文件的要求和投标文件的承诺，将设备调试至正常运行的最佳状态。</w:t>
      </w:r>
    </w:p>
    <w:p w14:paraId="78FAF1B8">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货物若有国家标准按照国家标准验收，若无国家标准按行业标准验收，为原制造商制造的全新产品，整机无污染，无侵权行为、表面无划损、无任何缺陷隐患，在中国境内可依常规安全合法使用。</w:t>
      </w:r>
    </w:p>
    <w:p w14:paraId="4E182943">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货物为原厂商未启封全新包装，具出厂合格证，序列号、包装箱号与出厂批号一致，并可追索查阅。所有随设备的附件必须齐全。</w:t>
      </w:r>
    </w:p>
    <w:p w14:paraId="0FF3CE47">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成交人应将设备的用户手册、保修手册、有关单证资料及配备件、随机工具等交付给采购人，使用操作及安全须知等重要资料应附有中文说明。</w:t>
      </w:r>
    </w:p>
    <w:p w14:paraId="173D3297">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1CA988F">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在采购文件所描述的设备完成安装、调试，试运行【1】个月后双方可开展终验。终验合格后双方签署验收合格书面文件，自签署之日起进入质保期。</w:t>
      </w:r>
    </w:p>
    <w:p w14:paraId="744B6749">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产品安装调试后若采购人发现产品设备性能指标与合同不符，必须在发现不符情形后需及时书面通知成交人，说明交货不符的情形。成交人必须在接到采购人通知后 【5】个工作日内无条件更换。</w:t>
      </w:r>
    </w:p>
    <w:p w14:paraId="0BC64459">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成交人须按时完成产品设备的安装与调试。在产品安装调试过程中发生的一切费用均由成交人承担。经采购人验收安装与调试结果合格后，双方签署“验收合格证明书”。</w:t>
      </w:r>
    </w:p>
    <w:p w14:paraId="5038C24E">
      <w:pPr>
        <w:numPr>
          <w:ilvl w:val="0"/>
          <w:numId w:val="13"/>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如设备运行出现故障，经采购人同意后成交人应立即免费提供同等功能的替代产品供采购人应急使用，直到问题解决为止。</w:t>
      </w:r>
    </w:p>
    <w:p w14:paraId="2C82F81D">
      <w:pPr>
        <w:numPr>
          <w:ilvl w:val="0"/>
          <w:numId w:val="10"/>
        </w:numPr>
        <w:spacing w:line="360" w:lineRule="auto"/>
        <w:ind w:left="567" w:hanging="567"/>
        <w:rPr>
          <w:rFonts w:ascii="宋体" w:hAnsi="宋体" w:cs="宋体"/>
          <w:b/>
          <w:kern w:val="0"/>
          <w:sz w:val="28"/>
          <w:szCs w:val="28"/>
        </w:rPr>
      </w:pPr>
      <w:r>
        <w:rPr>
          <w:rFonts w:hint="eastAsia" w:ascii="宋体" w:hAnsi="宋体" w:cs="宋体"/>
          <w:b/>
          <w:kern w:val="0"/>
          <w:sz w:val="28"/>
          <w:szCs w:val="28"/>
        </w:rPr>
        <w:t>付款方式：</w:t>
      </w:r>
    </w:p>
    <w:p w14:paraId="377538D8">
      <w:pPr>
        <w:tabs>
          <w:tab w:val="left" w:pos="540"/>
        </w:tabs>
        <w:spacing w:line="360" w:lineRule="auto"/>
        <w:ind w:firstLine="680" w:firstLineChars="243"/>
        <w:rPr>
          <w:rFonts w:ascii="宋体" w:hAnsi="宋体" w:cs="宋体"/>
          <w:b/>
          <w:kern w:val="0"/>
          <w:sz w:val="28"/>
          <w:szCs w:val="28"/>
        </w:rPr>
      </w:pPr>
      <w:r>
        <w:rPr>
          <w:rFonts w:hint="eastAsia" w:ascii="宋体" w:hAnsi="宋体" w:cs="宋体"/>
          <w:kern w:val="0"/>
          <w:sz w:val="28"/>
          <w:szCs w:val="28"/>
        </w:rPr>
        <w:t>由采购人按下列程序付款：</w:t>
      </w:r>
    </w:p>
    <w:p w14:paraId="271274D0">
      <w:pPr>
        <w:numPr>
          <w:ilvl w:val="0"/>
          <w:numId w:val="14"/>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所有货物安装调试至正常使用1个月内，并提交全部报告材料后，经采购人终验合格后一个月内，支付合同总价的95%。</w:t>
      </w:r>
    </w:p>
    <w:p w14:paraId="0A1807D6">
      <w:pPr>
        <w:numPr>
          <w:ilvl w:val="0"/>
          <w:numId w:val="14"/>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剩余5%作为质保金，质保期届满之日起一个月内支付。</w:t>
      </w:r>
    </w:p>
    <w:p w14:paraId="56F16007">
      <w:pPr>
        <w:numPr>
          <w:ilvl w:val="0"/>
          <w:numId w:val="14"/>
        </w:numPr>
        <w:tabs>
          <w:tab w:val="left" w:pos="567"/>
        </w:tabs>
        <w:spacing w:line="360" w:lineRule="auto"/>
        <w:ind w:left="567" w:hanging="567"/>
        <w:rPr>
          <w:rFonts w:ascii="宋体" w:hAnsi="宋体" w:cs="宋体"/>
          <w:sz w:val="28"/>
          <w:szCs w:val="28"/>
        </w:rPr>
      </w:pPr>
      <w:r>
        <w:rPr>
          <w:rFonts w:hint="eastAsia" w:ascii="宋体" w:hAnsi="宋体" w:cs="宋体"/>
          <w:sz w:val="28"/>
          <w:szCs w:val="28"/>
        </w:rPr>
        <w:t>成交人凭以下有效文件与采购人结算：</w:t>
      </w:r>
    </w:p>
    <w:p w14:paraId="04FDCABB">
      <w:pPr>
        <w:spacing w:line="360" w:lineRule="auto"/>
        <w:ind w:firstLine="700" w:firstLineChars="250"/>
        <w:rPr>
          <w:rFonts w:ascii="宋体" w:hAnsi="宋体" w:cs="宋体"/>
          <w:sz w:val="28"/>
          <w:szCs w:val="28"/>
        </w:rPr>
      </w:pPr>
      <w:r>
        <w:rPr>
          <w:rFonts w:hint="eastAsia" w:ascii="宋体" w:hAnsi="宋体" w:cs="宋体"/>
          <w:sz w:val="28"/>
          <w:szCs w:val="28"/>
        </w:rPr>
        <w:t>（1）合同；</w:t>
      </w:r>
    </w:p>
    <w:p w14:paraId="175727C6">
      <w:pPr>
        <w:spacing w:line="360" w:lineRule="auto"/>
        <w:ind w:firstLine="700" w:firstLineChars="250"/>
        <w:rPr>
          <w:rFonts w:ascii="宋体" w:hAnsi="宋体" w:cs="宋体"/>
          <w:sz w:val="28"/>
          <w:szCs w:val="28"/>
        </w:rPr>
      </w:pPr>
      <w:r>
        <w:rPr>
          <w:rFonts w:hint="eastAsia" w:ascii="宋体" w:hAnsi="宋体" w:cs="宋体"/>
          <w:sz w:val="28"/>
          <w:szCs w:val="28"/>
        </w:rPr>
        <w:t>（2）成交人开具的增值税专用发票；</w:t>
      </w:r>
    </w:p>
    <w:p w14:paraId="059DA77B">
      <w:pPr>
        <w:spacing w:line="360" w:lineRule="auto"/>
        <w:ind w:firstLine="700" w:firstLineChars="250"/>
        <w:rPr>
          <w:rFonts w:ascii="宋体" w:hAnsi="宋体" w:cs="宋体"/>
          <w:sz w:val="28"/>
          <w:szCs w:val="28"/>
        </w:rPr>
      </w:pPr>
      <w:r>
        <w:rPr>
          <w:rFonts w:hint="eastAsia" w:ascii="宋体" w:hAnsi="宋体" w:cs="宋体"/>
          <w:sz w:val="28"/>
          <w:szCs w:val="28"/>
        </w:rPr>
        <w:t>（3）验收报告（加盖采购人公章）；</w:t>
      </w:r>
    </w:p>
    <w:p w14:paraId="0C2ED747">
      <w:pPr>
        <w:widowControl/>
        <w:spacing w:line="360" w:lineRule="auto"/>
        <w:ind w:firstLine="482" w:firstLineChars="200"/>
        <w:jc w:val="left"/>
        <w:rPr>
          <w:rFonts w:asciiTheme="minorEastAsia" w:hAnsiTheme="minorEastAsia" w:eastAsiaTheme="minorEastAsia"/>
          <w:b/>
          <w:color w:val="000000"/>
          <w:sz w:val="24"/>
        </w:rPr>
      </w:pPr>
    </w:p>
    <w:p w14:paraId="7C057E1B">
      <w:pPr>
        <w:widowControl/>
        <w:spacing w:line="360" w:lineRule="auto"/>
        <w:ind w:firstLine="482" w:firstLineChars="200"/>
        <w:jc w:val="left"/>
        <w:rPr>
          <w:rFonts w:asciiTheme="minorEastAsia" w:hAnsiTheme="minorEastAsia" w:eastAsiaTheme="minorEastAsia"/>
          <w:b/>
          <w:color w:val="000000"/>
          <w:sz w:val="24"/>
          <w:lang w:val="zh-CN"/>
        </w:rPr>
      </w:pPr>
      <w:r>
        <w:rPr>
          <w:rFonts w:asciiTheme="minorEastAsia" w:hAnsiTheme="minorEastAsia" w:eastAsiaTheme="minorEastAsia"/>
          <w:b/>
          <w:color w:val="000000"/>
          <w:sz w:val="24"/>
          <w:lang w:val="zh-CN"/>
        </w:rPr>
        <w:br w:type="page"/>
      </w:r>
    </w:p>
    <w:p w14:paraId="7523C7E8">
      <w:pPr>
        <w:pStyle w:val="3"/>
      </w:pPr>
      <w:r>
        <w:t>4</w:t>
      </w:r>
      <w:r>
        <w:rPr>
          <w:rFonts w:hint="eastAsia"/>
        </w:rPr>
        <w:t>、其他补充材料（如有）</w:t>
      </w:r>
    </w:p>
    <w:bookmarkEnd w:id="11"/>
    <w:p w14:paraId="6FD5CB4E">
      <w:pPr>
        <w:jc w:val="center"/>
        <w:outlineLvl w:val="0"/>
        <w:rPr>
          <w:rFonts w:asciiTheme="minorEastAsia" w:hAnsiTheme="minorEastAsia" w:eastAsiaTheme="minorEastAsia"/>
          <w:b/>
          <w:color w:val="000000"/>
          <w:sz w:val="24"/>
          <w:lang w:val="zh-CN"/>
        </w:rPr>
      </w:pPr>
      <w:r>
        <w:rPr>
          <w:rFonts w:ascii="宋体" w:hAnsi="宋体"/>
          <w:b/>
          <w:color w:val="000000"/>
          <w:sz w:val="28"/>
          <w:szCs w:val="28"/>
        </w:rPr>
        <w:br w:type="page"/>
      </w:r>
    </w:p>
    <w:p w14:paraId="77E574EE">
      <w:pPr>
        <w:jc w:val="center"/>
        <w:outlineLvl w:val="0"/>
        <w:rPr>
          <w:rFonts w:ascii="宋体" w:hAnsi="宋体"/>
          <w:b/>
          <w:color w:val="000000"/>
          <w:sz w:val="36"/>
          <w:szCs w:val="36"/>
          <w:lang w:val="zh-CN"/>
        </w:rPr>
      </w:pPr>
      <w:bookmarkStart w:id="26" w:name="_Toc91236016"/>
      <w:r>
        <w:rPr>
          <w:rFonts w:hint="eastAsia" w:ascii="宋体" w:hAnsi="宋体"/>
          <w:b/>
          <w:color w:val="000000"/>
          <w:sz w:val="36"/>
          <w:szCs w:val="36"/>
          <w:lang w:val="zh-CN"/>
        </w:rPr>
        <w:t>第三部分 合同格式</w:t>
      </w:r>
      <w:bookmarkEnd w:id="26"/>
    </w:p>
    <w:p w14:paraId="38C3C992">
      <w:pPr>
        <w:jc w:val="right"/>
        <w:rPr>
          <w:rFonts w:ascii="宋体" w:hAnsi="宋体"/>
          <w:b/>
          <w:sz w:val="24"/>
        </w:rPr>
      </w:pPr>
      <w:bookmarkStart w:id="27" w:name="_Toc251742852"/>
    </w:p>
    <w:p w14:paraId="4A18AA4C">
      <w:pPr>
        <w:spacing w:line="360" w:lineRule="auto"/>
        <w:jc w:val="center"/>
        <w:rPr>
          <w:rFonts w:ascii="宋体" w:hAnsi="宋体"/>
          <w:b/>
          <w:sz w:val="24"/>
        </w:rPr>
      </w:pPr>
      <w:r>
        <w:rPr>
          <w:rFonts w:hint="eastAsia" w:ascii="宋体" w:hAnsi="宋体"/>
          <w:b/>
          <w:sz w:val="24"/>
        </w:rPr>
        <w:t>（此合同格式仅供参考）</w:t>
      </w:r>
    </w:p>
    <w:p w14:paraId="1188BC91">
      <w:pPr>
        <w:wordWrap w:val="0"/>
        <w:jc w:val="right"/>
        <w:rPr>
          <w:rFonts w:ascii="宋体" w:hAnsi="宋体"/>
          <w:b/>
          <w:sz w:val="24"/>
          <w:szCs w:val="20"/>
        </w:rPr>
      </w:pPr>
      <w:r>
        <w:rPr>
          <w:rFonts w:hint="eastAsia" w:ascii="宋体" w:hAnsi="宋体"/>
          <w:b/>
          <w:sz w:val="24"/>
          <w:szCs w:val="20"/>
        </w:rPr>
        <w:t>合同编号：【</w:t>
      </w:r>
      <w:r>
        <w:rPr>
          <w:rFonts w:ascii="宋体" w:hAnsi="宋体"/>
          <w:b/>
          <w:sz w:val="24"/>
          <w:szCs w:val="20"/>
        </w:rPr>
        <w:t xml:space="preserve">      </w:t>
      </w:r>
      <w:r>
        <w:rPr>
          <w:rFonts w:hint="eastAsia" w:ascii="宋体" w:hAnsi="宋体"/>
          <w:b/>
          <w:sz w:val="24"/>
          <w:szCs w:val="20"/>
        </w:rPr>
        <w:t>】</w:t>
      </w:r>
    </w:p>
    <w:p w14:paraId="45B6BE6C">
      <w:pPr>
        <w:jc w:val="right"/>
        <w:rPr>
          <w:rFonts w:ascii="宋体" w:hAnsi="宋体"/>
          <w:b/>
          <w:sz w:val="24"/>
          <w:szCs w:val="20"/>
        </w:rPr>
      </w:pPr>
    </w:p>
    <w:p w14:paraId="0EB41479">
      <w:pPr>
        <w:spacing w:line="360" w:lineRule="auto"/>
        <w:jc w:val="center"/>
        <w:rPr>
          <w:rFonts w:ascii="宋体" w:hAnsi="宋体"/>
          <w:sz w:val="24"/>
          <w:szCs w:val="20"/>
        </w:rPr>
      </w:pPr>
    </w:p>
    <w:p w14:paraId="2D821444">
      <w:pPr>
        <w:spacing w:line="360" w:lineRule="auto"/>
        <w:jc w:val="center"/>
        <w:rPr>
          <w:rFonts w:ascii="宋体" w:hAnsi="宋体"/>
          <w:sz w:val="24"/>
          <w:szCs w:val="20"/>
        </w:rPr>
      </w:pPr>
    </w:p>
    <w:p w14:paraId="725031EB">
      <w:pPr>
        <w:spacing w:line="360" w:lineRule="auto"/>
        <w:jc w:val="center"/>
        <w:rPr>
          <w:rFonts w:ascii="宋体" w:hAnsi="宋体"/>
          <w:sz w:val="24"/>
          <w:szCs w:val="20"/>
        </w:rPr>
      </w:pPr>
    </w:p>
    <w:p w14:paraId="0997ED93">
      <w:pPr>
        <w:spacing w:line="360" w:lineRule="auto"/>
        <w:jc w:val="center"/>
        <w:rPr>
          <w:rFonts w:ascii="宋体" w:hAnsi="宋体"/>
          <w:sz w:val="24"/>
          <w:szCs w:val="20"/>
        </w:rPr>
      </w:pPr>
    </w:p>
    <w:p w14:paraId="2481D4C7">
      <w:pPr>
        <w:spacing w:line="360" w:lineRule="auto"/>
        <w:jc w:val="center"/>
        <w:rPr>
          <w:rFonts w:ascii="宋体" w:hAnsi="宋体"/>
          <w:sz w:val="24"/>
          <w:szCs w:val="20"/>
        </w:rPr>
      </w:pPr>
    </w:p>
    <w:p w14:paraId="23CCAEDC">
      <w:pPr>
        <w:spacing w:line="360" w:lineRule="auto"/>
        <w:jc w:val="center"/>
        <w:rPr>
          <w:rFonts w:ascii="宋体" w:hAnsi="宋体"/>
          <w:b/>
          <w:bCs/>
          <w:sz w:val="36"/>
          <w:szCs w:val="36"/>
        </w:rPr>
      </w:pPr>
      <w:r>
        <w:rPr>
          <w:rFonts w:hint="eastAsia" w:ascii="宋体" w:hAnsi="宋体"/>
          <w:b/>
          <w:bCs/>
          <w:sz w:val="36"/>
          <w:szCs w:val="36"/>
        </w:rPr>
        <w:t>陆丰分公司数字电视平台统一项目（软件）采购合同</w:t>
      </w:r>
    </w:p>
    <w:p w14:paraId="7E5CFC38">
      <w:pPr>
        <w:spacing w:line="360" w:lineRule="auto"/>
        <w:jc w:val="center"/>
        <w:rPr>
          <w:rFonts w:ascii="宋体" w:hAnsi="宋体"/>
          <w:b/>
          <w:bCs/>
          <w:sz w:val="24"/>
          <w:szCs w:val="20"/>
        </w:rPr>
      </w:pPr>
    </w:p>
    <w:p w14:paraId="5044E96D">
      <w:pPr>
        <w:spacing w:line="360" w:lineRule="auto"/>
        <w:jc w:val="center"/>
        <w:rPr>
          <w:rFonts w:ascii="宋体" w:hAnsi="宋体"/>
          <w:b/>
          <w:bCs/>
          <w:sz w:val="24"/>
          <w:szCs w:val="20"/>
        </w:rPr>
      </w:pPr>
    </w:p>
    <w:p w14:paraId="7EBBE8D0">
      <w:pPr>
        <w:spacing w:line="360" w:lineRule="auto"/>
        <w:jc w:val="center"/>
        <w:rPr>
          <w:rFonts w:ascii="宋体" w:hAnsi="宋体"/>
          <w:b/>
          <w:bCs/>
          <w:sz w:val="24"/>
          <w:szCs w:val="20"/>
        </w:rPr>
      </w:pPr>
    </w:p>
    <w:p w14:paraId="09DF7B30">
      <w:pPr>
        <w:tabs>
          <w:tab w:val="left" w:pos="3296"/>
        </w:tabs>
        <w:adjustRightInd w:val="0"/>
        <w:snapToGrid w:val="0"/>
        <w:spacing w:line="360" w:lineRule="auto"/>
        <w:rPr>
          <w:rFonts w:ascii="宋体" w:hAnsi="宋体"/>
          <w:b/>
          <w:bCs/>
          <w:sz w:val="24"/>
          <w:szCs w:val="20"/>
        </w:rPr>
      </w:pPr>
    </w:p>
    <w:p w14:paraId="5D858B38">
      <w:pPr>
        <w:tabs>
          <w:tab w:val="left" w:pos="3296"/>
        </w:tabs>
        <w:adjustRightInd w:val="0"/>
        <w:snapToGrid w:val="0"/>
        <w:spacing w:line="360" w:lineRule="auto"/>
        <w:jc w:val="center"/>
        <w:rPr>
          <w:rFonts w:ascii="宋体" w:hAnsi="宋体"/>
          <w:b/>
          <w:bCs/>
          <w:sz w:val="24"/>
          <w:szCs w:val="20"/>
        </w:rPr>
      </w:pPr>
    </w:p>
    <w:p w14:paraId="673AD8AE">
      <w:pPr>
        <w:tabs>
          <w:tab w:val="left" w:pos="3296"/>
        </w:tabs>
        <w:adjustRightInd w:val="0"/>
        <w:snapToGrid w:val="0"/>
        <w:spacing w:line="360" w:lineRule="auto"/>
        <w:jc w:val="center"/>
        <w:rPr>
          <w:rFonts w:ascii="宋体" w:hAnsi="宋体"/>
          <w:b/>
          <w:bCs/>
          <w:sz w:val="24"/>
          <w:szCs w:val="20"/>
        </w:rPr>
      </w:pPr>
    </w:p>
    <w:p w14:paraId="57977648">
      <w:pPr>
        <w:tabs>
          <w:tab w:val="left" w:pos="3296"/>
        </w:tabs>
        <w:adjustRightInd w:val="0"/>
        <w:snapToGrid w:val="0"/>
        <w:spacing w:line="360" w:lineRule="auto"/>
        <w:jc w:val="center"/>
        <w:rPr>
          <w:rFonts w:ascii="宋体" w:hAnsi="宋体"/>
          <w:b/>
          <w:bCs/>
          <w:sz w:val="24"/>
          <w:szCs w:val="20"/>
        </w:rPr>
      </w:pPr>
    </w:p>
    <w:p w14:paraId="68A197A6">
      <w:pPr>
        <w:tabs>
          <w:tab w:val="left" w:pos="3296"/>
        </w:tabs>
        <w:adjustRightInd w:val="0"/>
        <w:snapToGrid w:val="0"/>
        <w:spacing w:line="360" w:lineRule="auto"/>
        <w:jc w:val="center"/>
        <w:rPr>
          <w:rFonts w:ascii="宋体" w:hAnsi="宋体"/>
          <w:b/>
          <w:bCs/>
          <w:sz w:val="24"/>
          <w:szCs w:val="20"/>
        </w:rPr>
      </w:pPr>
    </w:p>
    <w:p w14:paraId="1A439FF0">
      <w:pPr>
        <w:tabs>
          <w:tab w:val="left" w:pos="3296"/>
        </w:tabs>
        <w:adjustRightInd w:val="0"/>
        <w:snapToGrid w:val="0"/>
        <w:spacing w:line="360" w:lineRule="auto"/>
        <w:jc w:val="center"/>
        <w:rPr>
          <w:rFonts w:ascii="宋体" w:hAnsi="宋体"/>
          <w:b/>
          <w:bCs/>
          <w:sz w:val="24"/>
          <w:szCs w:val="20"/>
        </w:rPr>
      </w:pPr>
    </w:p>
    <w:p w14:paraId="2F5B6B7E">
      <w:pPr>
        <w:tabs>
          <w:tab w:val="left" w:pos="3296"/>
        </w:tabs>
        <w:adjustRightInd w:val="0"/>
        <w:snapToGrid w:val="0"/>
        <w:spacing w:line="360" w:lineRule="auto"/>
        <w:jc w:val="center"/>
        <w:rPr>
          <w:rFonts w:ascii="宋体" w:hAnsi="宋体"/>
          <w:b/>
          <w:bCs/>
          <w:sz w:val="24"/>
          <w:szCs w:val="20"/>
        </w:rPr>
      </w:pPr>
    </w:p>
    <w:p w14:paraId="6137882E">
      <w:pPr>
        <w:tabs>
          <w:tab w:val="left" w:pos="3296"/>
        </w:tabs>
        <w:adjustRightInd w:val="0"/>
        <w:snapToGrid w:val="0"/>
        <w:spacing w:line="360" w:lineRule="auto"/>
        <w:jc w:val="left"/>
        <w:rPr>
          <w:rFonts w:ascii="宋体" w:hAnsi="宋体"/>
          <w:b/>
          <w:bCs/>
          <w:sz w:val="32"/>
          <w:szCs w:val="32"/>
        </w:rPr>
      </w:pPr>
      <w:r>
        <w:rPr>
          <w:rFonts w:hint="eastAsia" w:ascii="宋体" w:hAnsi="宋体"/>
          <w:b/>
          <w:bCs/>
          <w:sz w:val="32"/>
          <w:szCs w:val="32"/>
        </w:rPr>
        <w:t>甲方</w:t>
      </w:r>
      <w:r>
        <w:rPr>
          <w:rFonts w:ascii="宋体" w:hAnsi="宋体"/>
          <w:b/>
          <w:bCs/>
          <w:sz w:val="32"/>
          <w:szCs w:val="32"/>
        </w:rPr>
        <w:t>（</w:t>
      </w:r>
      <w:r>
        <w:rPr>
          <w:rFonts w:hint="eastAsia" w:ascii="宋体" w:hAnsi="宋体"/>
          <w:b/>
          <w:bCs/>
          <w:sz w:val="32"/>
          <w:szCs w:val="32"/>
        </w:rPr>
        <w:t>采购人</w:t>
      </w:r>
      <w:r>
        <w:rPr>
          <w:rFonts w:ascii="宋体" w:hAnsi="宋体"/>
          <w:b/>
          <w:bCs/>
          <w:sz w:val="32"/>
          <w:szCs w:val="32"/>
        </w:rPr>
        <w:t>）：</w:t>
      </w:r>
      <w:r>
        <w:rPr>
          <w:rFonts w:hint="eastAsia" w:ascii="宋体" w:hAnsi="宋体"/>
          <w:b/>
          <w:bCs/>
          <w:sz w:val="32"/>
          <w:szCs w:val="32"/>
        </w:rPr>
        <w:t>广东省广播电视网络股份有限公司汕尾</w:t>
      </w:r>
      <w:r>
        <w:rPr>
          <w:rFonts w:ascii="宋体" w:hAnsi="宋体"/>
          <w:b/>
          <w:bCs/>
          <w:sz w:val="32"/>
          <w:szCs w:val="32"/>
        </w:rPr>
        <w:t>分公司</w:t>
      </w:r>
    </w:p>
    <w:p w14:paraId="2A702A86">
      <w:pPr>
        <w:tabs>
          <w:tab w:val="left" w:pos="3296"/>
        </w:tabs>
        <w:adjustRightInd w:val="0"/>
        <w:snapToGrid w:val="0"/>
        <w:spacing w:line="360" w:lineRule="auto"/>
        <w:jc w:val="left"/>
        <w:rPr>
          <w:rFonts w:ascii="宋体" w:hAnsi="宋体"/>
          <w:b/>
          <w:bCs/>
          <w:sz w:val="32"/>
          <w:szCs w:val="32"/>
        </w:rPr>
      </w:pPr>
      <w:r>
        <w:rPr>
          <w:rFonts w:hint="eastAsia" w:ascii="宋体" w:hAnsi="宋体"/>
          <w:b/>
          <w:bCs/>
          <w:sz w:val="32"/>
          <w:szCs w:val="32"/>
        </w:rPr>
        <w:t>乙方</w:t>
      </w:r>
      <w:r>
        <w:rPr>
          <w:rFonts w:ascii="宋体" w:hAnsi="宋体"/>
          <w:b/>
          <w:bCs/>
          <w:sz w:val="32"/>
          <w:szCs w:val="32"/>
        </w:rPr>
        <w:t>（</w:t>
      </w:r>
      <w:r>
        <w:rPr>
          <w:rFonts w:hint="eastAsia" w:ascii="宋体" w:hAnsi="宋体"/>
          <w:b/>
          <w:bCs/>
          <w:sz w:val="32"/>
          <w:szCs w:val="32"/>
        </w:rPr>
        <w:t>供应商</w:t>
      </w:r>
      <w:r>
        <w:rPr>
          <w:rFonts w:ascii="宋体" w:hAnsi="宋体"/>
          <w:b/>
          <w:bCs/>
          <w:sz w:val="32"/>
          <w:szCs w:val="32"/>
        </w:rPr>
        <w:t xml:space="preserve">）： </w:t>
      </w:r>
    </w:p>
    <w:p w14:paraId="2C1C1A0B">
      <w:pPr>
        <w:tabs>
          <w:tab w:val="left" w:pos="3296"/>
        </w:tabs>
        <w:adjustRightInd w:val="0"/>
        <w:snapToGrid w:val="0"/>
        <w:spacing w:line="360" w:lineRule="auto"/>
        <w:jc w:val="left"/>
        <w:rPr>
          <w:rFonts w:ascii="宋体" w:hAnsi="宋体"/>
          <w:b/>
          <w:bCs/>
          <w:sz w:val="32"/>
          <w:szCs w:val="32"/>
        </w:rPr>
      </w:pPr>
    </w:p>
    <w:p w14:paraId="4D1FD6C9">
      <w:pPr>
        <w:tabs>
          <w:tab w:val="left" w:pos="3296"/>
        </w:tabs>
        <w:adjustRightInd w:val="0"/>
        <w:snapToGrid w:val="0"/>
        <w:spacing w:line="360" w:lineRule="auto"/>
        <w:jc w:val="left"/>
        <w:rPr>
          <w:rFonts w:ascii="宋体" w:hAnsi="宋体"/>
          <w:b/>
          <w:bCs/>
          <w:sz w:val="32"/>
          <w:szCs w:val="32"/>
        </w:rPr>
      </w:pPr>
    </w:p>
    <w:p w14:paraId="597FBF19">
      <w:pPr>
        <w:tabs>
          <w:tab w:val="left" w:pos="3296"/>
        </w:tabs>
        <w:adjustRightInd w:val="0"/>
        <w:snapToGrid w:val="0"/>
        <w:spacing w:line="360" w:lineRule="auto"/>
        <w:jc w:val="left"/>
        <w:rPr>
          <w:rFonts w:ascii="宋体" w:hAnsi="宋体"/>
          <w:b/>
          <w:bCs/>
          <w:sz w:val="32"/>
          <w:szCs w:val="32"/>
        </w:rPr>
      </w:pPr>
    </w:p>
    <w:p w14:paraId="14D3195F">
      <w:pPr>
        <w:tabs>
          <w:tab w:val="left" w:pos="3296"/>
        </w:tabs>
        <w:adjustRightInd w:val="0"/>
        <w:snapToGrid w:val="0"/>
        <w:spacing w:line="360" w:lineRule="auto"/>
        <w:jc w:val="left"/>
      </w:pPr>
    </w:p>
    <w:p w14:paraId="01810B96">
      <w:pPr>
        <w:tabs>
          <w:tab w:val="left" w:pos="3296"/>
        </w:tabs>
        <w:adjustRightInd w:val="0"/>
        <w:snapToGrid w:val="0"/>
        <w:spacing w:line="360" w:lineRule="auto"/>
        <w:jc w:val="left"/>
        <w:rPr>
          <w:rFonts w:ascii="宋体" w:hAnsi="宋体"/>
          <w:b/>
          <w:bCs/>
          <w:sz w:val="32"/>
          <w:szCs w:val="32"/>
        </w:rPr>
      </w:pPr>
    </w:p>
    <w:p w14:paraId="4EA62433">
      <w:pPr>
        <w:tabs>
          <w:tab w:val="left" w:pos="3296"/>
        </w:tabs>
        <w:adjustRightInd w:val="0"/>
        <w:snapToGrid w:val="0"/>
        <w:spacing w:line="360" w:lineRule="auto"/>
        <w:jc w:val="left"/>
        <w:rPr>
          <w:rFonts w:ascii="宋体" w:hAnsi="宋体"/>
          <w:b/>
          <w:bCs/>
          <w:sz w:val="32"/>
          <w:szCs w:val="32"/>
        </w:rPr>
      </w:pPr>
    </w:p>
    <w:p w14:paraId="56C7A6E6">
      <w:pPr>
        <w:widowControl/>
        <w:spacing w:line="360" w:lineRule="auto"/>
        <w:rPr>
          <w:rFonts w:ascii="宋体" w:hAnsi="宋体"/>
          <w:szCs w:val="21"/>
        </w:rPr>
      </w:pPr>
      <w:r>
        <w:rPr>
          <w:rFonts w:hint="eastAsia" w:ascii="宋体" w:hAnsi="宋体"/>
          <w:szCs w:val="21"/>
        </w:rPr>
        <w:t>甲方：广东省广播电视网络股份有限公司汕尾</w:t>
      </w:r>
      <w:r>
        <w:rPr>
          <w:rFonts w:ascii="宋体" w:hAnsi="宋体"/>
          <w:szCs w:val="21"/>
        </w:rPr>
        <w:t>分公司</w:t>
      </w:r>
    </w:p>
    <w:p w14:paraId="445A99D9">
      <w:pPr>
        <w:snapToGrid w:val="0"/>
        <w:spacing w:line="360" w:lineRule="auto"/>
        <w:rPr>
          <w:rFonts w:ascii="宋体" w:hAnsi="宋体"/>
          <w:szCs w:val="21"/>
        </w:rPr>
      </w:pPr>
      <w:r>
        <w:rPr>
          <w:rFonts w:hint="eastAsia" w:ascii="宋体" w:hAnsi="宋体"/>
          <w:szCs w:val="21"/>
        </w:rPr>
        <w:t>乙方：</w:t>
      </w:r>
    </w:p>
    <w:p w14:paraId="62CD00EE">
      <w:pPr>
        <w:snapToGrid w:val="0"/>
        <w:spacing w:line="360" w:lineRule="auto"/>
        <w:rPr>
          <w:rFonts w:ascii="宋体" w:hAnsi="宋体"/>
          <w:szCs w:val="21"/>
        </w:rPr>
      </w:pPr>
      <w:r>
        <w:rPr>
          <w:rFonts w:hint="eastAsia" w:ascii="宋体" w:hAnsi="宋体"/>
          <w:szCs w:val="21"/>
        </w:rPr>
        <w:t>住所地（根据营业执照地址填写）：</w:t>
      </w:r>
      <w:r>
        <w:rPr>
          <w:rFonts w:ascii="宋体" w:hAnsi="宋体"/>
          <w:szCs w:val="21"/>
        </w:rPr>
        <w:t xml:space="preserve"> </w:t>
      </w:r>
    </w:p>
    <w:p w14:paraId="6DA9A843">
      <w:pPr>
        <w:snapToGrid w:val="0"/>
        <w:spacing w:line="360" w:lineRule="auto"/>
        <w:rPr>
          <w:rFonts w:ascii="宋体" w:hAnsi="宋体"/>
          <w:szCs w:val="21"/>
        </w:rPr>
      </w:pPr>
      <w:r>
        <w:rPr>
          <w:rFonts w:hint="eastAsia" w:ascii="宋体" w:hAnsi="宋体"/>
          <w:szCs w:val="21"/>
        </w:rPr>
        <w:t>法定代表人：</w:t>
      </w:r>
    </w:p>
    <w:p w14:paraId="20A91192">
      <w:pPr>
        <w:snapToGrid w:val="0"/>
        <w:spacing w:line="360" w:lineRule="auto"/>
        <w:rPr>
          <w:rFonts w:ascii="宋体" w:hAnsi="宋体"/>
          <w:szCs w:val="21"/>
        </w:rPr>
      </w:pPr>
      <w:r>
        <w:rPr>
          <w:rFonts w:hint="eastAsia" w:ascii="宋体" w:hAnsi="宋体"/>
          <w:szCs w:val="21"/>
        </w:rPr>
        <w:t>联系人：</w:t>
      </w:r>
      <w:r>
        <w:rPr>
          <w:rFonts w:ascii="宋体" w:hAnsi="宋体"/>
          <w:szCs w:val="21"/>
        </w:rPr>
        <w:t xml:space="preserve"> </w:t>
      </w:r>
    </w:p>
    <w:p w14:paraId="1113D201">
      <w:pPr>
        <w:snapToGrid w:val="0"/>
        <w:spacing w:line="360" w:lineRule="auto"/>
        <w:rPr>
          <w:rFonts w:ascii="宋体" w:hAnsi="宋体"/>
          <w:szCs w:val="21"/>
        </w:rPr>
      </w:pPr>
      <w:r>
        <w:rPr>
          <w:rFonts w:hint="eastAsia" w:ascii="宋体" w:hAnsi="宋体"/>
          <w:szCs w:val="21"/>
        </w:rPr>
        <w:t>联系电话：</w:t>
      </w:r>
    </w:p>
    <w:p w14:paraId="406C1A2C">
      <w:pPr>
        <w:snapToGrid w:val="0"/>
        <w:spacing w:line="360" w:lineRule="auto"/>
        <w:rPr>
          <w:rFonts w:ascii="宋体" w:hAnsi="宋体"/>
          <w:szCs w:val="21"/>
        </w:rPr>
      </w:pPr>
      <w:r>
        <w:rPr>
          <w:rFonts w:hint="eastAsia" w:ascii="宋体" w:hAnsi="宋体"/>
          <w:szCs w:val="21"/>
        </w:rPr>
        <w:t>传真：</w:t>
      </w:r>
    </w:p>
    <w:p w14:paraId="0E34F177">
      <w:pPr>
        <w:snapToGrid w:val="0"/>
        <w:spacing w:line="360" w:lineRule="auto"/>
        <w:rPr>
          <w:rFonts w:ascii="宋体" w:hAnsi="宋体"/>
          <w:szCs w:val="21"/>
        </w:rPr>
      </w:pPr>
      <w:r>
        <w:rPr>
          <w:rFonts w:hint="eastAsia" w:ascii="宋体" w:hAnsi="宋体"/>
          <w:szCs w:val="21"/>
        </w:rPr>
        <w:t>邮箱：</w:t>
      </w:r>
    </w:p>
    <w:p w14:paraId="20200FCA">
      <w:pPr>
        <w:snapToGrid w:val="0"/>
        <w:spacing w:line="360" w:lineRule="auto"/>
        <w:rPr>
          <w:rFonts w:ascii="宋体" w:hAnsi="宋体"/>
          <w:szCs w:val="21"/>
        </w:rPr>
      </w:pPr>
      <w:r>
        <w:rPr>
          <w:rFonts w:hint="eastAsia" w:ascii="宋体" w:hAnsi="宋体"/>
          <w:szCs w:val="21"/>
        </w:rPr>
        <w:t>通讯地址：</w:t>
      </w:r>
    </w:p>
    <w:p w14:paraId="090A7CA5">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根据</w:t>
      </w:r>
      <w:r>
        <w:rPr>
          <w:rFonts w:hint="eastAsia" w:ascii="宋体" w:hAnsi="宋体"/>
          <w:szCs w:val="21"/>
          <w:u w:val="single"/>
        </w:rPr>
        <w:t>陆丰分公司数字电视平台统一项目（软件）招标</w:t>
      </w:r>
      <w:r>
        <w:rPr>
          <w:rFonts w:hint="eastAsia" w:ascii="宋体" w:hAnsi="宋体"/>
          <w:szCs w:val="21"/>
        </w:rPr>
        <w:t xml:space="preserve">结果，项目编号 </w:t>
      </w:r>
      <w:r>
        <w:rPr>
          <w:rFonts w:hint="eastAsia" w:ascii="宋体" w:hAnsi="宋体"/>
          <w:szCs w:val="21"/>
          <w:u w:val="single"/>
        </w:rPr>
        <w:t xml:space="preserve">                  </w:t>
      </w:r>
      <w:r>
        <w:rPr>
          <w:rFonts w:hint="eastAsia" w:ascii="宋体" w:hAnsi="宋体"/>
          <w:szCs w:val="21"/>
        </w:rPr>
        <w:t>，甲乙双方就甲方【广东省广播电视网络股份有限公司汕尾分公司EPG系统升级改造项目】，根据《中华人民共和国合同法》等相关法律法规，本着“平等、自愿、诚实、信用”的原则，经双方友好协商，订立本合同。</w:t>
      </w:r>
    </w:p>
    <w:p w14:paraId="725C8B9F">
      <w:pPr>
        <w:keepNext/>
        <w:widowControl/>
        <w:numPr>
          <w:ilvl w:val="0"/>
          <w:numId w:val="15"/>
        </w:numPr>
        <w:spacing w:line="360" w:lineRule="auto"/>
        <w:ind w:left="0" w:firstLine="422" w:firstLineChars="200"/>
        <w:jc w:val="left"/>
        <w:rPr>
          <w:rFonts w:ascii="宋体" w:hAnsi="宋体"/>
          <w:b/>
          <w:bCs/>
          <w:szCs w:val="21"/>
        </w:rPr>
      </w:pPr>
      <w:bookmarkStart w:id="28" w:name="_Toc518311985"/>
      <w:r>
        <w:rPr>
          <w:rFonts w:hint="eastAsia" w:ascii="宋体" w:hAnsi="宋体"/>
          <w:b/>
          <w:bCs/>
          <w:kern w:val="44"/>
          <w:szCs w:val="21"/>
        </w:rPr>
        <w:t>货物清单及</w:t>
      </w:r>
      <w:bookmarkEnd w:id="28"/>
      <w:r>
        <w:rPr>
          <w:rFonts w:hint="eastAsia" w:ascii="宋体" w:hAnsi="宋体"/>
          <w:b/>
          <w:bCs/>
          <w:kern w:val="44"/>
          <w:szCs w:val="21"/>
        </w:rPr>
        <w:t>金额</w:t>
      </w:r>
    </w:p>
    <w:tbl>
      <w:tblPr>
        <w:tblStyle w:val="54"/>
        <w:tblW w:w="5000" w:type="pct"/>
        <w:jc w:val="center"/>
        <w:tblLayout w:type="fixed"/>
        <w:tblCellMar>
          <w:top w:w="0" w:type="dxa"/>
          <w:left w:w="108" w:type="dxa"/>
          <w:bottom w:w="0" w:type="dxa"/>
          <w:right w:w="108" w:type="dxa"/>
        </w:tblCellMar>
      </w:tblPr>
      <w:tblGrid>
        <w:gridCol w:w="731"/>
        <w:gridCol w:w="936"/>
        <w:gridCol w:w="2268"/>
        <w:gridCol w:w="1134"/>
        <w:gridCol w:w="993"/>
        <w:gridCol w:w="426"/>
        <w:gridCol w:w="567"/>
        <w:gridCol w:w="1134"/>
        <w:gridCol w:w="1134"/>
        <w:gridCol w:w="639"/>
      </w:tblGrid>
      <w:tr w14:paraId="74D75D62">
        <w:tblPrEx>
          <w:tblCellMar>
            <w:top w:w="0" w:type="dxa"/>
            <w:left w:w="108" w:type="dxa"/>
            <w:bottom w:w="0" w:type="dxa"/>
            <w:right w:w="108" w:type="dxa"/>
          </w:tblCellMar>
        </w:tblPrEx>
        <w:trPr>
          <w:trHeight w:val="285" w:hRule="atLeast"/>
          <w:jc w:val="center"/>
        </w:trPr>
        <w:tc>
          <w:tcPr>
            <w:tcW w:w="367" w:type="pct"/>
            <w:vMerge w:val="restart"/>
            <w:tcBorders>
              <w:top w:val="single" w:color="auto" w:sz="8" w:space="0"/>
              <w:left w:val="single" w:color="auto" w:sz="8" w:space="0"/>
              <w:bottom w:val="single" w:color="000000" w:sz="8" w:space="0"/>
              <w:right w:val="single" w:color="auto" w:sz="8" w:space="0"/>
            </w:tcBorders>
            <w:vAlign w:val="center"/>
          </w:tcPr>
          <w:p w14:paraId="6365501D">
            <w:pPr>
              <w:widowControl/>
              <w:jc w:val="center"/>
              <w:rPr>
                <w:rFonts w:ascii="宋体" w:hAnsi="宋体" w:cs="宋体"/>
                <w:b/>
                <w:bCs/>
                <w:color w:val="000000"/>
                <w:kern w:val="0"/>
                <w:szCs w:val="21"/>
              </w:rPr>
            </w:pPr>
            <w:r>
              <w:rPr>
                <w:rFonts w:hint="cs" w:ascii="宋体" w:hAnsi="宋体" w:cs="宋体"/>
                <w:b/>
                <w:bCs/>
                <w:color w:val="000000"/>
                <w:kern w:val="0"/>
                <w:szCs w:val="21"/>
                <w:cs/>
              </w:rPr>
              <w:t>序号</w:t>
            </w:r>
          </w:p>
        </w:tc>
        <w:tc>
          <w:tcPr>
            <w:tcW w:w="470" w:type="pct"/>
            <w:vMerge w:val="restart"/>
            <w:tcBorders>
              <w:top w:val="single" w:color="auto" w:sz="8" w:space="0"/>
              <w:left w:val="single" w:color="auto" w:sz="8" w:space="0"/>
              <w:bottom w:val="single" w:color="000000" w:sz="8" w:space="0"/>
              <w:right w:val="single" w:color="auto" w:sz="8" w:space="0"/>
            </w:tcBorders>
            <w:vAlign w:val="center"/>
          </w:tcPr>
          <w:p w14:paraId="40BF6464">
            <w:pPr>
              <w:widowControl/>
              <w:jc w:val="center"/>
              <w:rPr>
                <w:rFonts w:ascii="宋体" w:hAnsi="宋体" w:cs="宋体"/>
                <w:b/>
                <w:bCs/>
                <w:color w:val="000000"/>
                <w:kern w:val="0"/>
                <w:szCs w:val="21"/>
              </w:rPr>
            </w:pPr>
            <w:r>
              <w:rPr>
                <w:rFonts w:hint="cs" w:ascii="宋体" w:hAnsi="宋体" w:cs="宋体"/>
                <w:b/>
                <w:bCs/>
                <w:color w:val="000000"/>
                <w:kern w:val="0"/>
                <w:szCs w:val="21"/>
                <w:cs/>
              </w:rPr>
              <w:t>货物名称</w:t>
            </w:r>
          </w:p>
        </w:tc>
        <w:tc>
          <w:tcPr>
            <w:tcW w:w="1138" w:type="pct"/>
            <w:vMerge w:val="restart"/>
            <w:tcBorders>
              <w:top w:val="single" w:color="auto" w:sz="8" w:space="0"/>
              <w:left w:val="single" w:color="auto" w:sz="8" w:space="0"/>
              <w:bottom w:val="single" w:color="000000" w:sz="8" w:space="0"/>
              <w:right w:val="single" w:color="auto" w:sz="8" w:space="0"/>
            </w:tcBorders>
            <w:vAlign w:val="center"/>
          </w:tcPr>
          <w:p w14:paraId="097B33D6">
            <w:pPr>
              <w:widowControl/>
              <w:jc w:val="center"/>
              <w:rPr>
                <w:rFonts w:ascii="宋体" w:hAnsi="宋体" w:cs="宋体"/>
                <w:b/>
                <w:bCs/>
                <w:color w:val="000000"/>
                <w:kern w:val="0"/>
                <w:szCs w:val="21"/>
              </w:rPr>
            </w:pPr>
            <w:r>
              <w:rPr>
                <w:rFonts w:hint="cs" w:ascii="宋体" w:hAnsi="宋体" w:cs="宋体"/>
                <w:b/>
                <w:bCs/>
                <w:color w:val="000000"/>
                <w:kern w:val="0"/>
                <w:szCs w:val="21"/>
                <w:cs/>
              </w:rPr>
              <w:t>规格</w:t>
            </w:r>
          </w:p>
        </w:tc>
        <w:tc>
          <w:tcPr>
            <w:tcW w:w="569" w:type="pct"/>
            <w:vMerge w:val="restart"/>
            <w:tcBorders>
              <w:top w:val="single" w:color="auto" w:sz="8" w:space="0"/>
              <w:left w:val="single" w:color="auto" w:sz="8" w:space="0"/>
              <w:bottom w:val="single" w:color="000000" w:sz="8" w:space="0"/>
              <w:right w:val="single" w:color="auto" w:sz="8" w:space="0"/>
            </w:tcBorders>
            <w:vAlign w:val="center"/>
          </w:tcPr>
          <w:p w14:paraId="5680549C">
            <w:pPr>
              <w:widowControl/>
              <w:jc w:val="center"/>
              <w:rPr>
                <w:rFonts w:ascii="宋体" w:hAnsi="宋体" w:cs="宋体"/>
                <w:b/>
                <w:bCs/>
                <w:color w:val="000000"/>
                <w:kern w:val="0"/>
                <w:szCs w:val="21"/>
              </w:rPr>
            </w:pPr>
            <w:r>
              <w:rPr>
                <w:rFonts w:hint="cs" w:ascii="宋体" w:hAnsi="宋体" w:cs="宋体"/>
                <w:b/>
                <w:bCs/>
                <w:color w:val="000000"/>
                <w:kern w:val="0"/>
                <w:szCs w:val="21"/>
                <w:cs/>
              </w:rPr>
              <w:t>型号</w:t>
            </w:r>
          </w:p>
        </w:tc>
        <w:tc>
          <w:tcPr>
            <w:tcW w:w="498" w:type="pct"/>
            <w:tcBorders>
              <w:top w:val="single" w:color="auto" w:sz="8" w:space="0"/>
              <w:left w:val="nil"/>
              <w:bottom w:val="nil"/>
              <w:right w:val="single" w:color="auto" w:sz="8" w:space="0"/>
            </w:tcBorders>
            <w:vAlign w:val="center"/>
          </w:tcPr>
          <w:p w14:paraId="143AC389">
            <w:pPr>
              <w:widowControl/>
              <w:jc w:val="center"/>
              <w:rPr>
                <w:rFonts w:ascii="宋体" w:hAnsi="宋体" w:cs="宋体"/>
                <w:b/>
                <w:bCs/>
                <w:color w:val="000000"/>
                <w:kern w:val="0"/>
                <w:szCs w:val="21"/>
              </w:rPr>
            </w:pPr>
            <w:r>
              <w:rPr>
                <w:rFonts w:hint="cs" w:ascii="宋体" w:hAnsi="宋体" w:cs="宋体"/>
                <w:b/>
                <w:bCs/>
                <w:color w:val="000000"/>
                <w:kern w:val="0"/>
                <w:szCs w:val="21"/>
                <w:cs/>
              </w:rPr>
              <w:t>品牌</w:t>
            </w:r>
          </w:p>
        </w:tc>
        <w:tc>
          <w:tcPr>
            <w:tcW w:w="214" w:type="pct"/>
            <w:vMerge w:val="restart"/>
            <w:tcBorders>
              <w:top w:val="single" w:color="auto" w:sz="8" w:space="0"/>
              <w:left w:val="single" w:color="auto" w:sz="8" w:space="0"/>
              <w:bottom w:val="single" w:color="000000" w:sz="8" w:space="0"/>
              <w:right w:val="single" w:color="auto" w:sz="8" w:space="0"/>
            </w:tcBorders>
            <w:vAlign w:val="center"/>
          </w:tcPr>
          <w:p w14:paraId="2D6C1099">
            <w:pPr>
              <w:widowControl/>
              <w:jc w:val="center"/>
              <w:rPr>
                <w:rFonts w:ascii="宋体" w:hAnsi="宋体" w:cs="宋体"/>
                <w:b/>
                <w:bCs/>
                <w:color w:val="000000"/>
                <w:kern w:val="0"/>
                <w:szCs w:val="21"/>
              </w:rPr>
            </w:pPr>
            <w:r>
              <w:rPr>
                <w:rFonts w:hint="cs" w:ascii="宋体" w:hAnsi="宋体" w:cs="宋体"/>
                <w:b/>
                <w:bCs/>
                <w:color w:val="000000"/>
                <w:kern w:val="0"/>
                <w:szCs w:val="21"/>
                <w:cs/>
              </w:rPr>
              <w:t>单位</w:t>
            </w:r>
          </w:p>
        </w:tc>
        <w:tc>
          <w:tcPr>
            <w:tcW w:w="285" w:type="pct"/>
            <w:vMerge w:val="restart"/>
            <w:tcBorders>
              <w:top w:val="single" w:color="auto" w:sz="8" w:space="0"/>
              <w:left w:val="single" w:color="auto" w:sz="8" w:space="0"/>
              <w:bottom w:val="single" w:color="000000" w:sz="8" w:space="0"/>
              <w:right w:val="single" w:color="auto" w:sz="8" w:space="0"/>
            </w:tcBorders>
            <w:vAlign w:val="center"/>
          </w:tcPr>
          <w:p w14:paraId="25C58F68">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569" w:type="pct"/>
            <w:vMerge w:val="restart"/>
            <w:tcBorders>
              <w:top w:val="single" w:color="auto" w:sz="8" w:space="0"/>
              <w:left w:val="single" w:color="auto" w:sz="8" w:space="0"/>
              <w:bottom w:val="single" w:color="000000" w:sz="8" w:space="0"/>
              <w:right w:val="single" w:color="auto" w:sz="8" w:space="0"/>
            </w:tcBorders>
            <w:vAlign w:val="center"/>
          </w:tcPr>
          <w:p w14:paraId="271B49BF">
            <w:pPr>
              <w:widowControl/>
              <w:jc w:val="center"/>
              <w:rPr>
                <w:rFonts w:ascii="宋体" w:hAnsi="宋体" w:cs="宋体"/>
                <w:b/>
                <w:bCs/>
                <w:color w:val="000000"/>
                <w:kern w:val="0"/>
                <w:szCs w:val="21"/>
              </w:rPr>
            </w:pPr>
            <w:r>
              <w:rPr>
                <w:rFonts w:hint="cs" w:ascii="宋体" w:hAnsi="宋体" w:cs="宋体"/>
                <w:b/>
                <w:bCs/>
                <w:color w:val="000000"/>
                <w:kern w:val="0"/>
                <w:szCs w:val="21"/>
                <w:cs/>
              </w:rPr>
              <w:t>含税单价（元）</w:t>
            </w:r>
          </w:p>
        </w:tc>
        <w:tc>
          <w:tcPr>
            <w:tcW w:w="569" w:type="pct"/>
            <w:vMerge w:val="restart"/>
            <w:tcBorders>
              <w:top w:val="single" w:color="auto" w:sz="8" w:space="0"/>
              <w:left w:val="single" w:color="auto" w:sz="8" w:space="0"/>
              <w:bottom w:val="single" w:color="000000" w:sz="8" w:space="0"/>
              <w:right w:val="single" w:color="auto" w:sz="8" w:space="0"/>
            </w:tcBorders>
            <w:vAlign w:val="center"/>
          </w:tcPr>
          <w:p w14:paraId="5CE8EA5E">
            <w:pPr>
              <w:widowControl/>
              <w:jc w:val="center"/>
              <w:rPr>
                <w:rFonts w:ascii="宋体" w:hAnsi="宋体" w:cs="宋体"/>
                <w:b/>
                <w:bCs/>
                <w:color w:val="000000"/>
                <w:kern w:val="0"/>
                <w:szCs w:val="21"/>
              </w:rPr>
            </w:pPr>
            <w:r>
              <w:rPr>
                <w:rFonts w:hint="cs" w:ascii="宋体" w:hAnsi="宋体" w:cs="宋体"/>
                <w:b/>
                <w:bCs/>
                <w:color w:val="000000"/>
                <w:kern w:val="0"/>
                <w:szCs w:val="21"/>
                <w:cs/>
              </w:rPr>
              <w:t>含税总价（元）</w:t>
            </w:r>
          </w:p>
        </w:tc>
        <w:tc>
          <w:tcPr>
            <w:tcW w:w="321" w:type="pct"/>
            <w:vMerge w:val="restart"/>
            <w:tcBorders>
              <w:top w:val="single" w:color="auto" w:sz="8" w:space="0"/>
              <w:left w:val="single" w:color="auto" w:sz="8" w:space="0"/>
              <w:bottom w:val="single" w:color="000000" w:sz="8" w:space="0"/>
              <w:right w:val="single" w:color="auto" w:sz="8" w:space="0"/>
            </w:tcBorders>
            <w:vAlign w:val="center"/>
          </w:tcPr>
          <w:p w14:paraId="6E740B03">
            <w:pPr>
              <w:widowControl/>
              <w:jc w:val="center"/>
              <w:rPr>
                <w:rFonts w:ascii="宋体" w:hAnsi="宋体" w:cs="宋体"/>
                <w:b/>
                <w:bCs/>
                <w:color w:val="000000"/>
                <w:kern w:val="0"/>
                <w:szCs w:val="21"/>
              </w:rPr>
            </w:pPr>
            <w:r>
              <w:rPr>
                <w:rFonts w:hint="eastAsia" w:ascii="宋体" w:hAnsi="宋体" w:cs="宋体"/>
                <w:b/>
                <w:bCs/>
                <w:color w:val="000000"/>
                <w:kern w:val="0"/>
                <w:szCs w:val="21"/>
              </w:rPr>
              <w:t>税率</w:t>
            </w:r>
          </w:p>
        </w:tc>
      </w:tr>
      <w:tr w14:paraId="317DA626">
        <w:tblPrEx>
          <w:tblCellMar>
            <w:top w:w="0" w:type="dxa"/>
            <w:left w:w="108" w:type="dxa"/>
            <w:bottom w:w="0" w:type="dxa"/>
            <w:right w:w="108" w:type="dxa"/>
          </w:tblCellMar>
        </w:tblPrEx>
        <w:trPr>
          <w:trHeight w:val="300" w:hRule="atLeast"/>
          <w:jc w:val="center"/>
        </w:trPr>
        <w:tc>
          <w:tcPr>
            <w:tcW w:w="367" w:type="pct"/>
            <w:vMerge w:val="continue"/>
            <w:tcBorders>
              <w:top w:val="single" w:color="auto" w:sz="8" w:space="0"/>
              <w:left w:val="single" w:color="auto" w:sz="8" w:space="0"/>
              <w:bottom w:val="single" w:color="000000" w:sz="8" w:space="0"/>
              <w:right w:val="single" w:color="auto" w:sz="8" w:space="0"/>
            </w:tcBorders>
            <w:vAlign w:val="center"/>
          </w:tcPr>
          <w:p w14:paraId="05267D01">
            <w:pPr>
              <w:widowControl/>
              <w:jc w:val="left"/>
              <w:rPr>
                <w:rFonts w:ascii="宋体" w:hAnsi="宋体" w:cs="宋体"/>
                <w:b/>
                <w:bCs/>
                <w:color w:val="000000"/>
                <w:kern w:val="0"/>
                <w:szCs w:val="21"/>
              </w:rPr>
            </w:pPr>
          </w:p>
        </w:tc>
        <w:tc>
          <w:tcPr>
            <w:tcW w:w="470" w:type="pct"/>
            <w:vMerge w:val="continue"/>
            <w:tcBorders>
              <w:top w:val="single" w:color="auto" w:sz="8" w:space="0"/>
              <w:left w:val="single" w:color="auto" w:sz="8" w:space="0"/>
              <w:bottom w:val="single" w:color="000000" w:sz="8" w:space="0"/>
              <w:right w:val="single" w:color="auto" w:sz="8" w:space="0"/>
            </w:tcBorders>
            <w:vAlign w:val="center"/>
          </w:tcPr>
          <w:p w14:paraId="30964157">
            <w:pPr>
              <w:widowControl/>
              <w:jc w:val="left"/>
              <w:rPr>
                <w:rFonts w:ascii="宋体" w:hAnsi="宋体" w:cs="宋体"/>
                <w:b/>
                <w:bCs/>
                <w:color w:val="000000"/>
                <w:kern w:val="0"/>
                <w:szCs w:val="21"/>
              </w:rPr>
            </w:pPr>
          </w:p>
        </w:tc>
        <w:tc>
          <w:tcPr>
            <w:tcW w:w="1138" w:type="pct"/>
            <w:vMerge w:val="continue"/>
            <w:tcBorders>
              <w:top w:val="single" w:color="auto" w:sz="8" w:space="0"/>
              <w:left w:val="single" w:color="auto" w:sz="8" w:space="0"/>
              <w:bottom w:val="single" w:color="000000" w:sz="8" w:space="0"/>
              <w:right w:val="single" w:color="auto" w:sz="8" w:space="0"/>
            </w:tcBorders>
            <w:vAlign w:val="center"/>
          </w:tcPr>
          <w:p w14:paraId="0F55865E">
            <w:pPr>
              <w:widowControl/>
              <w:jc w:val="left"/>
              <w:rPr>
                <w:rFonts w:ascii="宋体" w:hAnsi="宋体" w:cs="宋体"/>
                <w:b/>
                <w:bCs/>
                <w:color w:val="000000"/>
                <w:kern w:val="0"/>
                <w:szCs w:val="21"/>
              </w:rPr>
            </w:pPr>
          </w:p>
        </w:tc>
        <w:tc>
          <w:tcPr>
            <w:tcW w:w="569" w:type="pct"/>
            <w:vMerge w:val="continue"/>
            <w:tcBorders>
              <w:top w:val="single" w:color="auto" w:sz="8" w:space="0"/>
              <w:left w:val="single" w:color="auto" w:sz="8" w:space="0"/>
              <w:bottom w:val="single" w:color="000000" w:sz="8" w:space="0"/>
              <w:right w:val="single" w:color="auto" w:sz="8" w:space="0"/>
            </w:tcBorders>
            <w:vAlign w:val="center"/>
          </w:tcPr>
          <w:p w14:paraId="5F107CDE">
            <w:pPr>
              <w:widowControl/>
              <w:jc w:val="left"/>
              <w:rPr>
                <w:rFonts w:ascii="宋体" w:hAnsi="宋体" w:cs="宋体"/>
                <w:b/>
                <w:bCs/>
                <w:color w:val="000000"/>
                <w:kern w:val="0"/>
                <w:szCs w:val="21"/>
              </w:rPr>
            </w:pPr>
          </w:p>
        </w:tc>
        <w:tc>
          <w:tcPr>
            <w:tcW w:w="498" w:type="pct"/>
            <w:tcBorders>
              <w:top w:val="nil"/>
              <w:left w:val="nil"/>
              <w:bottom w:val="single" w:color="auto" w:sz="8" w:space="0"/>
              <w:right w:val="single" w:color="auto" w:sz="8" w:space="0"/>
            </w:tcBorders>
            <w:vAlign w:val="center"/>
          </w:tcPr>
          <w:p w14:paraId="16933DBF">
            <w:pPr>
              <w:widowControl/>
              <w:jc w:val="center"/>
              <w:rPr>
                <w:rFonts w:ascii="宋体" w:hAnsi="宋体" w:cs="宋体"/>
                <w:b/>
                <w:bCs/>
                <w:color w:val="000000"/>
                <w:kern w:val="0"/>
                <w:szCs w:val="21"/>
              </w:rPr>
            </w:pPr>
            <w:r>
              <w:rPr>
                <w:rFonts w:hint="eastAsia" w:ascii="宋体" w:hAnsi="宋体" w:cs="宋体"/>
                <w:b/>
                <w:bCs/>
                <w:color w:val="000000"/>
                <w:kern w:val="0"/>
                <w:szCs w:val="21"/>
              </w:rPr>
              <w:t>/产地</w:t>
            </w:r>
          </w:p>
        </w:tc>
        <w:tc>
          <w:tcPr>
            <w:tcW w:w="214" w:type="pct"/>
            <w:vMerge w:val="continue"/>
            <w:tcBorders>
              <w:top w:val="single" w:color="auto" w:sz="8" w:space="0"/>
              <w:left w:val="single" w:color="auto" w:sz="8" w:space="0"/>
              <w:bottom w:val="single" w:color="000000" w:sz="8" w:space="0"/>
              <w:right w:val="single" w:color="auto" w:sz="8" w:space="0"/>
            </w:tcBorders>
            <w:vAlign w:val="center"/>
          </w:tcPr>
          <w:p w14:paraId="29B48DD9">
            <w:pPr>
              <w:widowControl/>
              <w:jc w:val="left"/>
              <w:rPr>
                <w:rFonts w:ascii="宋体" w:hAnsi="宋体" w:cs="宋体"/>
                <w:b/>
                <w:bCs/>
                <w:color w:val="000000"/>
                <w:kern w:val="0"/>
                <w:szCs w:val="21"/>
              </w:rPr>
            </w:pPr>
          </w:p>
        </w:tc>
        <w:tc>
          <w:tcPr>
            <w:tcW w:w="285" w:type="pct"/>
            <w:vMerge w:val="continue"/>
            <w:tcBorders>
              <w:top w:val="single" w:color="auto" w:sz="8" w:space="0"/>
              <w:left w:val="single" w:color="auto" w:sz="8" w:space="0"/>
              <w:bottom w:val="single" w:color="000000" w:sz="8" w:space="0"/>
              <w:right w:val="single" w:color="auto" w:sz="8" w:space="0"/>
            </w:tcBorders>
            <w:vAlign w:val="center"/>
          </w:tcPr>
          <w:p w14:paraId="0EB27FEC">
            <w:pPr>
              <w:widowControl/>
              <w:jc w:val="left"/>
              <w:rPr>
                <w:rFonts w:ascii="宋体" w:hAnsi="宋体" w:cs="宋体"/>
                <w:b/>
                <w:bCs/>
                <w:color w:val="000000"/>
                <w:kern w:val="0"/>
                <w:szCs w:val="21"/>
              </w:rPr>
            </w:pPr>
          </w:p>
        </w:tc>
        <w:tc>
          <w:tcPr>
            <w:tcW w:w="569" w:type="pct"/>
            <w:vMerge w:val="continue"/>
            <w:tcBorders>
              <w:top w:val="single" w:color="auto" w:sz="8" w:space="0"/>
              <w:left w:val="single" w:color="auto" w:sz="8" w:space="0"/>
              <w:bottom w:val="single" w:color="000000" w:sz="8" w:space="0"/>
              <w:right w:val="single" w:color="auto" w:sz="8" w:space="0"/>
            </w:tcBorders>
            <w:vAlign w:val="center"/>
          </w:tcPr>
          <w:p w14:paraId="70E23C26">
            <w:pPr>
              <w:widowControl/>
              <w:jc w:val="left"/>
              <w:rPr>
                <w:rFonts w:ascii="宋体" w:hAnsi="宋体" w:cs="宋体"/>
                <w:b/>
                <w:bCs/>
                <w:color w:val="000000"/>
                <w:kern w:val="0"/>
                <w:szCs w:val="21"/>
              </w:rPr>
            </w:pPr>
          </w:p>
        </w:tc>
        <w:tc>
          <w:tcPr>
            <w:tcW w:w="569" w:type="pct"/>
            <w:vMerge w:val="continue"/>
            <w:tcBorders>
              <w:top w:val="single" w:color="auto" w:sz="8" w:space="0"/>
              <w:left w:val="single" w:color="auto" w:sz="8" w:space="0"/>
              <w:bottom w:val="single" w:color="000000" w:sz="8" w:space="0"/>
              <w:right w:val="single" w:color="auto" w:sz="8" w:space="0"/>
            </w:tcBorders>
            <w:vAlign w:val="center"/>
          </w:tcPr>
          <w:p w14:paraId="322A7F95">
            <w:pPr>
              <w:widowControl/>
              <w:jc w:val="left"/>
              <w:rPr>
                <w:rFonts w:ascii="宋体" w:hAnsi="宋体" w:cs="宋体"/>
                <w:b/>
                <w:bCs/>
                <w:color w:val="000000"/>
                <w:kern w:val="0"/>
                <w:szCs w:val="21"/>
              </w:rPr>
            </w:pPr>
          </w:p>
        </w:tc>
        <w:tc>
          <w:tcPr>
            <w:tcW w:w="321" w:type="pct"/>
            <w:vMerge w:val="continue"/>
            <w:tcBorders>
              <w:top w:val="single" w:color="auto" w:sz="8" w:space="0"/>
              <w:left w:val="single" w:color="auto" w:sz="8" w:space="0"/>
              <w:bottom w:val="single" w:color="000000" w:sz="8" w:space="0"/>
              <w:right w:val="single" w:color="auto" w:sz="8" w:space="0"/>
            </w:tcBorders>
            <w:vAlign w:val="center"/>
          </w:tcPr>
          <w:p w14:paraId="236D41AF">
            <w:pPr>
              <w:widowControl/>
              <w:jc w:val="left"/>
              <w:rPr>
                <w:rFonts w:ascii="宋体" w:hAnsi="宋体" w:cs="宋体"/>
                <w:b/>
                <w:bCs/>
                <w:color w:val="000000"/>
                <w:kern w:val="0"/>
                <w:szCs w:val="21"/>
              </w:rPr>
            </w:pPr>
          </w:p>
        </w:tc>
      </w:tr>
      <w:tr w14:paraId="52D7CC34">
        <w:tblPrEx>
          <w:tblCellMar>
            <w:top w:w="0" w:type="dxa"/>
            <w:left w:w="108" w:type="dxa"/>
            <w:bottom w:w="0" w:type="dxa"/>
            <w:right w:w="108" w:type="dxa"/>
          </w:tblCellMar>
        </w:tblPrEx>
        <w:trPr>
          <w:trHeight w:val="534" w:hRule="atLeast"/>
          <w:jc w:val="center"/>
        </w:trPr>
        <w:tc>
          <w:tcPr>
            <w:tcW w:w="367" w:type="pct"/>
            <w:tcBorders>
              <w:top w:val="nil"/>
              <w:left w:val="single" w:color="auto" w:sz="8" w:space="0"/>
              <w:bottom w:val="single" w:color="auto" w:sz="8" w:space="0"/>
              <w:right w:val="single" w:color="auto" w:sz="8" w:space="0"/>
            </w:tcBorders>
            <w:vAlign w:val="center"/>
          </w:tcPr>
          <w:p w14:paraId="3C5BD5E6">
            <w:pPr>
              <w:widowControl/>
              <w:jc w:val="center"/>
              <w:rPr>
                <w:rFonts w:ascii="宋体" w:hAnsi="宋体" w:cs="宋体"/>
                <w:color w:val="000000"/>
                <w:kern w:val="0"/>
                <w:szCs w:val="21"/>
              </w:rPr>
            </w:pPr>
            <w:r>
              <w:rPr>
                <w:rFonts w:ascii="宋体" w:hAnsi="宋体"/>
                <w:kern w:val="0"/>
                <w:szCs w:val="21"/>
              </w:rPr>
              <w:t>1</w:t>
            </w:r>
          </w:p>
        </w:tc>
        <w:tc>
          <w:tcPr>
            <w:tcW w:w="470" w:type="pct"/>
            <w:tcBorders>
              <w:top w:val="nil"/>
              <w:left w:val="nil"/>
              <w:bottom w:val="single" w:color="auto" w:sz="8" w:space="0"/>
              <w:right w:val="single" w:color="auto" w:sz="8" w:space="0"/>
            </w:tcBorders>
            <w:vAlign w:val="center"/>
          </w:tcPr>
          <w:p w14:paraId="2A29A715">
            <w:pPr>
              <w:widowControl/>
              <w:jc w:val="center"/>
              <w:rPr>
                <w:rFonts w:ascii="宋体" w:hAnsi="宋体" w:cs="宋体"/>
                <w:color w:val="000000"/>
                <w:kern w:val="0"/>
                <w:szCs w:val="21"/>
              </w:rPr>
            </w:pPr>
          </w:p>
        </w:tc>
        <w:tc>
          <w:tcPr>
            <w:tcW w:w="1138" w:type="pct"/>
            <w:tcBorders>
              <w:top w:val="nil"/>
              <w:left w:val="nil"/>
              <w:bottom w:val="single" w:color="auto" w:sz="8" w:space="0"/>
              <w:right w:val="single" w:color="auto" w:sz="8" w:space="0"/>
            </w:tcBorders>
            <w:vAlign w:val="center"/>
          </w:tcPr>
          <w:p w14:paraId="1AFB91E5">
            <w:pPr>
              <w:widowControl/>
              <w:jc w:val="left"/>
              <w:rPr>
                <w:rFonts w:ascii="宋体" w:hAnsi="宋体" w:cs="宋体"/>
                <w:color w:val="000000"/>
                <w:kern w:val="0"/>
                <w:szCs w:val="21"/>
              </w:rPr>
            </w:pPr>
          </w:p>
        </w:tc>
        <w:tc>
          <w:tcPr>
            <w:tcW w:w="569" w:type="pct"/>
            <w:tcBorders>
              <w:top w:val="nil"/>
              <w:left w:val="nil"/>
              <w:bottom w:val="single" w:color="auto" w:sz="8" w:space="0"/>
              <w:right w:val="single" w:color="auto" w:sz="8" w:space="0"/>
            </w:tcBorders>
            <w:vAlign w:val="center"/>
          </w:tcPr>
          <w:p w14:paraId="4018B9AF">
            <w:pPr>
              <w:widowControl/>
              <w:jc w:val="center"/>
              <w:rPr>
                <w:rFonts w:ascii="宋体" w:hAnsi="宋体" w:cs="宋体"/>
                <w:color w:val="000000"/>
                <w:kern w:val="0"/>
                <w:szCs w:val="21"/>
              </w:rPr>
            </w:pPr>
          </w:p>
        </w:tc>
        <w:tc>
          <w:tcPr>
            <w:tcW w:w="498" w:type="pct"/>
            <w:tcBorders>
              <w:top w:val="nil"/>
              <w:left w:val="nil"/>
              <w:bottom w:val="single" w:color="auto" w:sz="8" w:space="0"/>
              <w:right w:val="single" w:color="auto" w:sz="8" w:space="0"/>
            </w:tcBorders>
            <w:vAlign w:val="center"/>
          </w:tcPr>
          <w:p w14:paraId="0F9850F5">
            <w:pPr>
              <w:widowControl/>
              <w:jc w:val="center"/>
              <w:rPr>
                <w:rFonts w:ascii="宋体" w:hAnsi="宋体" w:cs="宋体"/>
                <w:color w:val="000000"/>
                <w:kern w:val="0"/>
                <w:szCs w:val="21"/>
              </w:rPr>
            </w:pPr>
          </w:p>
        </w:tc>
        <w:tc>
          <w:tcPr>
            <w:tcW w:w="214" w:type="pct"/>
            <w:tcBorders>
              <w:top w:val="nil"/>
              <w:left w:val="nil"/>
              <w:bottom w:val="single" w:color="auto" w:sz="8" w:space="0"/>
              <w:right w:val="single" w:color="auto" w:sz="8" w:space="0"/>
            </w:tcBorders>
            <w:vAlign w:val="center"/>
          </w:tcPr>
          <w:p w14:paraId="61668D6F">
            <w:pPr>
              <w:widowControl/>
              <w:rPr>
                <w:rFonts w:ascii="宋体" w:hAnsi="宋体" w:cs="宋体"/>
                <w:color w:val="000000"/>
                <w:kern w:val="0"/>
                <w:szCs w:val="21"/>
              </w:rPr>
            </w:pPr>
          </w:p>
        </w:tc>
        <w:tc>
          <w:tcPr>
            <w:tcW w:w="285" w:type="pct"/>
            <w:tcBorders>
              <w:top w:val="nil"/>
              <w:left w:val="nil"/>
              <w:bottom w:val="single" w:color="auto" w:sz="8" w:space="0"/>
              <w:right w:val="single" w:color="auto" w:sz="8" w:space="0"/>
            </w:tcBorders>
            <w:vAlign w:val="center"/>
          </w:tcPr>
          <w:p w14:paraId="364CD1A3">
            <w:pPr>
              <w:widowControl/>
              <w:jc w:val="center"/>
              <w:rPr>
                <w:rFonts w:ascii="宋体" w:hAnsi="宋体" w:cs="宋体"/>
                <w:color w:val="000000"/>
                <w:kern w:val="0"/>
                <w:szCs w:val="21"/>
              </w:rPr>
            </w:pPr>
          </w:p>
        </w:tc>
        <w:tc>
          <w:tcPr>
            <w:tcW w:w="569" w:type="pct"/>
            <w:tcBorders>
              <w:top w:val="nil"/>
              <w:left w:val="nil"/>
              <w:bottom w:val="single" w:color="auto" w:sz="8" w:space="0"/>
              <w:right w:val="single" w:color="auto" w:sz="8" w:space="0"/>
            </w:tcBorders>
            <w:vAlign w:val="center"/>
          </w:tcPr>
          <w:p w14:paraId="3C132CC9">
            <w:pPr>
              <w:widowControl/>
              <w:jc w:val="center"/>
              <w:rPr>
                <w:rFonts w:ascii="宋体" w:hAnsi="宋体" w:cs="宋体"/>
                <w:color w:val="000000"/>
                <w:kern w:val="0"/>
                <w:szCs w:val="21"/>
              </w:rPr>
            </w:pPr>
          </w:p>
        </w:tc>
        <w:tc>
          <w:tcPr>
            <w:tcW w:w="569" w:type="pct"/>
            <w:tcBorders>
              <w:top w:val="nil"/>
              <w:left w:val="nil"/>
              <w:bottom w:val="single" w:color="auto" w:sz="8" w:space="0"/>
              <w:right w:val="single" w:color="auto" w:sz="8" w:space="0"/>
            </w:tcBorders>
            <w:vAlign w:val="center"/>
          </w:tcPr>
          <w:p w14:paraId="46A9FB4D">
            <w:pPr>
              <w:widowControl/>
              <w:jc w:val="center"/>
              <w:rPr>
                <w:rFonts w:ascii="宋体" w:hAnsi="宋体" w:cs="宋体"/>
                <w:color w:val="000000"/>
                <w:kern w:val="0"/>
                <w:szCs w:val="21"/>
              </w:rPr>
            </w:pPr>
          </w:p>
        </w:tc>
        <w:tc>
          <w:tcPr>
            <w:tcW w:w="321" w:type="pct"/>
            <w:tcBorders>
              <w:top w:val="nil"/>
              <w:left w:val="nil"/>
              <w:bottom w:val="single" w:color="auto" w:sz="8" w:space="0"/>
              <w:right w:val="single" w:color="auto" w:sz="8" w:space="0"/>
            </w:tcBorders>
            <w:vAlign w:val="center"/>
          </w:tcPr>
          <w:p w14:paraId="021AA27A">
            <w:pPr>
              <w:widowControl/>
              <w:jc w:val="center"/>
              <w:rPr>
                <w:rFonts w:ascii="宋体" w:hAnsi="宋体" w:cs="宋体"/>
                <w:color w:val="000000"/>
                <w:kern w:val="0"/>
                <w:szCs w:val="21"/>
              </w:rPr>
            </w:pPr>
          </w:p>
        </w:tc>
      </w:tr>
      <w:tr w14:paraId="01D3AB2E">
        <w:tblPrEx>
          <w:tblCellMar>
            <w:top w:w="0" w:type="dxa"/>
            <w:left w:w="108" w:type="dxa"/>
            <w:bottom w:w="0" w:type="dxa"/>
            <w:right w:w="108" w:type="dxa"/>
          </w:tblCellMar>
        </w:tblPrEx>
        <w:trPr>
          <w:trHeight w:val="525" w:hRule="atLeast"/>
          <w:jc w:val="center"/>
        </w:trPr>
        <w:tc>
          <w:tcPr>
            <w:tcW w:w="367" w:type="pct"/>
            <w:tcBorders>
              <w:top w:val="nil"/>
              <w:left w:val="single" w:color="auto" w:sz="8" w:space="0"/>
              <w:bottom w:val="single" w:color="auto" w:sz="8" w:space="0"/>
              <w:right w:val="single" w:color="auto" w:sz="8" w:space="0"/>
            </w:tcBorders>
            <w:vAlign w:val="center"/>
          </w:tcPr>
          <w:p w14:paraId="3BC1D556">
            <w:pPr>
              <w:widowControl/>
              <w:jc w:val="center"/>
              <w:rPr>
                <w:rFonts w:ascii="宋体" w:hAnsi="宋体" w:cs="宋体"/>
                <w:color w:val="000000"/>
                <w:kern w:val="0"/>
                <w:szCs w:val="21"/>
              </w:rPr>
            </w:pPr>
            <w:r>
              <w:rPr>
                <w:rFonts w:hint="eastAsia" w:ascii="宋体" w:hAnsi="宋体"/>
                <w:kern w:val="0"/>
                <w:szCs w:val="21"/>
              </w:rPr>
              <w:t>2</w:t>
            </w:r>
          </w:p>
        </w:tc>
        <w:tc>
          <w:tcPr>
            <w:tcW w:w="470" w:type="pct"/>
            <w:tcBorders>
              <w:top w:val="nil"/>
              <w:left w:val="nil"/>
              <w:bottom w:val="single" w:color="auto" w:sz="8" w:space="0"/>
              <w:right w:val="single" w:color="auto" w:sz="8" w:space="0"/>
            </w:tcBorders>
            <w:vAlign w:val="center"/>
          </w:tcPr>
          <w:p w14:paraId="16222B0C">
            <w:pPr>
              <w:widowControl/>
              <w:jc w:val="center"/>
              <w:rPr>
                <w:rFonts w:ascii="宋体" w:hAnsi="宋体" w:cs="宋体"/>
                <w:color w:val="000000"/>
                <w:kern w:val="0"/>
                <w:szCs w:val="21"/>
              </w:rPr>
            </w:pPr>
          </w:p>
        </w:tc>
        <w:tc>
          <w:tcPr>
            <w:tcW w:w="1138" w:type="pct"/>
            <w:tcBorders>
              <w:top w:val="nil"/>
              <w:left w:val="nil"/>
              <w:bottom w:val="single" w:color="auto" w:sz="8" w:space="0"/>
              <w:right w:val="single" w:color="auto" w:sz="8" w:space="0"/>
            </w:tcBorders>
            <w:vAlign w:val="center"/>
          </w:tcPr>
          <w:p w14:paraId="37DA26EE">
            <w:pPr>
              <w:jc w:val="left"/>
              <w:rPr>
                <w:rFonts w:ascii="宋体" w:hAnsi="宋体" w:cs="宋体"/>
                <w:color w:val="000000"/>
                <w:kern w:val="0"/>
                <w:sz w:val="22"/>
                <w:szCs w:val="22"/>
              </w:rPr>
            </w:pPr>
          </w:p>
        </w:tc>
        <w:tc>
          <w:tcPr>
            <w:tcW w:w="569" w:type="pct"/>
            <w:tcBorders>
              <w:top w:val="nil"/>
              <w:left w:val="nil"/>
              <w:bottom w:val="single" w:color="auto" w:sz="8" w:space="0"/>
              <w:right w:val="single" w:color="auto" w:sz="8" w:space="0"/>
            </w:tcBorders>
            <w:vAlign w:val="center"/>
          </w:tcPr>
          <w:p w14:paraId="47143B72">
            <w:pPr>
              <w:widowControl/>
              <w:jc w:val="center"/>
              <w:rPr>
                <w:rFonts w:ascii="宋体" w:hAnsi="宋体" w:cs="宋体"/>
                <w:color w:val="000000"/>
                <w:kern w:val="0"/>
                <w:szCs w:val="21"/>
              </w:rPr>
            </w:pPr>
          </w:p>
        </w:tc>
        <w:tc>
          <w:tcPr>
            <w:tcW w:w="498" w:type="pct"/>
            <w:tcBorders>
              <w:top w:val="nil"/>
              <w:left w:val="nil"/>
              <w:bottom w:val="single" w:color="auto" w:sz="8" w:space="0"/>
              <w:right w:val="single" w:color="auto" w:sz="8" w:space="0"/>
            </w:tcBorders>
            <w:vAlign w:val="center"/>
          </w:tcPr>
          <w:p w14:paraId="6E396D16">
            <w:pPr>
              <w:widowControl/>
              <w:jc w:val="center"/>
              <w:rPr>
                <w:rFonts w:ascii="宋体" w:hAnsi="宋体" w:cs="宋体"/>
                <w:color w:val="000000"/>
                <w:kern w:val="0"/>
                <w:szCs w:val="21"/>
              </w:rPr>
            </w:pPr>
          </w:p>
        </w:tc>
        <w:tc>
          <w:tcPr>
            <w:tcW w:w="214" w:type="pct"/>
            <w:tcBorders>
              <w:top w:val="nil"/>
              <w:left w:val="nil"/>
              <w:bottom w:val="single" w:color="auto" w:sz="8" w:space="0"/>
              <w:right w:val="single" w:color="auto" w:sz="8" w:space="0"/>
            </w:tcBorders>
            <w:vAlign w:val="center"/>
          </w:tcPr>
          <w:p w14:paraId="2C1ADBAE">
            <w:pPr>
              <w:widowControl/>
              <w:jc w:val="center"/>
              <w:rPr>
                <w:rFonts w:ascii="宋体" w:hAnsi="宋体" w:cs="宋体"/>
                <w:color w:val="000000"/>
                <w:kern w:val="0"/>
                <w:szCs w:val="21"/>
              </w:rPr>
            </w:pPr>
          </w:p>
        </w:tc>
        <w:tc>
          <w:tcPr>
            <w:tcW w:w="285" w:type="pct"/>
            <w:tcBorders>
              <w:top w:val="nil"/>
              <w:left w:val="nil"/>
              <w:bottom w:val="single" w:color="auto" w:sz="8" w:space="0"/>
              <w:right w:val="single" w:color="auto" w:sz="8" w:space="0"/>
            </w:tcBorders>
            <w:vAlign w:val="center"/>
          </w:tcPr>
          <w:p w14:paraId="1D6A7143">
            <w:pPr>
              <w:widowControl/>
              <w:jc w:val="center"/>
              <w:rPr>
                <w:rFonts w:ascii="宋体" w:hAnsi="宋体" w:cs="宋体"/>
                <w:color w:val="000000"/>
                <w:kern w:val="0"/>
                <w:szCs w:val="21"/>
              </w:rPr>
            </w:pPr>
          </w:p>
        </w:tc>
        <w:tc>
          <w:tcPr>
            <w:tcW w:w="569" w:type="pct"/>
            <w:tcBorders>
              <w:top w:val="nil"/>
              <w:left w:val="nil"/>
              <w:bottom w:val="single" w:color="auto" w:sz="8" w:space="0"/>
              <w:right w:val="single" w:color="auto" w:sz="8" w:space="0"/>
            </w:tcBorders>
            <w:vAlign w:val="center"/>
          </w:tcPr>
          <w:p w14:paraId="1787E305">
            <w:pPr>
              <w:widowControl/>
              <w:jc w:val="center"/>
              <w:rPr>
                <w:rFonts w:ascii="宋体" w:hAnsi="宋体" w:cs="宋体"/>
                <w:color w:val="000000"/>
                <w:kern w:val="0"/>
                <w:szCs w:val="21"/>
              </w:rPr>
            </w:pPr>
          </w:p>
        </w:tc>
        <w:tc>
          <w:tcPr>
            <w:tcW w:w="569" w:type="pct"/>
            <w:tcBorders>
              <w:top w:val="nil"/>
              <w:left w:val="nil"/>
              <w:bottom w:val="single" w:color="auto" w:sz="8" w:space="0"/>
              <w:right w:val="single" w:color="auto" w:sz="8" w:space="0"/>
            </w:tcBorders>
            <w:vAlign w:val="center"/>
          </w:tcPr>
          <w:p w14:paraId="531CFBD3">
            <w:pPr>
              <w:widowControl/>
              <w:jc w:val="center"/>
              <w:rPr>
                <w:rFonts w:ascii="宋体" w:hAnsi="宋体" w:cs="宋体"/>
                <w:color w:val="000000"/>
                <w:kern w:val="0"/>
                <w:szCs w:val="21"/>
              </w:rPr>
            </w:pPr>
          </w:p>
        </w:tc>
        <w:tc>
          <w:tcPr>
            <w:tcW w:w="321" w:type="pct"/>
            <w:tcBorders>
              <w:top w:val="nil"/>
              <w:left w:val="nil"/>
              <w:bottom w:val="single" w:color="auto" w:sz="8" w:space="0"/>
              <w:right w:val="single" w:color="auto" w:sz="8" w:space="0"/>
            </w:tcBorders>
            <w:vAlign w:val="center"/>
          </w:tcPr>
          <w:p w14:paraId="19F5B2A9">
            <w:pPr>
              <w:widowControl/>
              <w:jc w:val="center"/>
              <w:rPr>
                <w:rFonts w:ascii="宋体" w:hAnsi="宋体" w:cs="宋体"/>
                <w:color w:val="000000"/>
                <w:kern w:val="0"/>
                <w:szCs w:val="21"/>
              </w:rPr>
            </w:pPr>
          </w:p>
        </w:tc>
      </w:tr>
      <w:tr w14:paraId="02A32F8D">
        <w:tblPrEx>
          <w:tblCellMar>
            <w:top w:w="0" w:type="dxa"/>
            <w:left w:w="108" w:type="dxa"/>
            <w:bottom w:w="0" w:type="dxa"/>
            <w:right w:w="108" w:type="dxa"/>
          </w:tblCellMar>
        </w:tblPrEx>
        <w:trPr>
          <w:trHeight w:val="300" w:hRule="atLeast"/>
          <w:jc w:val="center"/>
        </w:trPr>
        <w:tc>
          <w:tcPr>
            <w:tcW w:w="4110" w:type="pct"/>
            <w:gridSpan w:val="8"/>
            <w:tcBorders>
              <w:top w:val="nil"/>
              <w:left w:val="single" w:color="auto" w:sz="8" w:space="0"/>
              <w:bottom w:val="single" w:color="auto" w:sz="8" w:space="0"/>
              <w:right w:val="single" w:color="auto" w:sz="8" w:space="0"/>
            </w:tcBorders>
            <w:vAlign w:val="center"/>
          </w:tcPr>
          <w:p w14:paraId="305AB683">
            <w:pPr>
              <w:widowControl/>
              <w:jc w:val="right"/>
              <w:rPr>
                <w:rFonts w:ascii="宋体" w:hAnsi="宋体" w:cs="宋体"/>
                <w:color w:val="000000"/>
                <w:kern w:val="0"/>
                <w:szCs w:val="21"/>
              </w:rPr>
            </w:pPr>
            <w:r>
              <w:rPr>
                <w:rFonts w:hint="eastAsia"/>
                <w:szCs w:val="20"/>
              </w:rPr>
              <w:t>含税总价（元）：</w:t>
            </w:r>
          </w:p>
        </w:tc>
        <w:tc>
          <w:tcPr>
            <w:tcW w:w="890" w:type="pct"/>
            <w:gridSpan w:val="2"/>
            <w:tcBorders>
              <w:top w:val="nil"/>
              <w:left w:val="nil"/>
              <w:bottom w:val="single" w:color="auto" w:sz="8" w:space="0"/>
              <w:right w:val="single" w:color="auto" w:sz="8" w:space="0"/>
            </w:tcBorders>
            <w:vAlign w:val="center"/>
          </w:tcPr>
          <w:p w14:paraId="23189F47">
            <w:pPr>
              <w:widowControl/>
              <w:jc w:val="center"/>
              <w:rPr>
                <w:rFonts w:ascii="宋体" w:hAnsi="宋体" w:cs="宋体"/>
                <w:color w:val="000000"/>
                <w:kern w:val="0"/>
                <w:szCs w:val="21"/>
              </w:rPr>
            </w:pPr>
          </w:p>
        </w:tc>
      </w:tr>
    </w:tbl>
    <w:p w14:paraId="4963F602">
      <w:pPr>
        <w:spacing w:line="360" w:lineRule="auto"/>
        <w:ind w:firstLine="420" w:firstLineChars="200"/>
        <w:rPr>
          <w:rFonts w:ascii="宋体" w:hAnsi="宋体"/>
          <w:szCs w:val="21"/>
        </w:rPr>
      </w:pPr>
      <w:r>
        <w:rPr>
          <w:rFonts w:hint="eastAsia" w:ascii="宋体" w:hAnsi="宋体"/>
          <w:szCs w:val="21"/>
        </w:rPr>
        <w:t>说明：上述货物单价，均</w:t>
      </w:r>
      <w:bookmarkStart w:id="29" w:name="_Hlk520060206"/>
      <w:r>
        <w:rPr>
          <w:rFonts w:hint="eastAsia" w:ascii="宋体" w:hAnsi="宋体"/>
          <w:szCs w:val="21"/>
        </w:rPr>
        <w:t>已包含了原材料费、制作加工费、包装费、运输费、保险费、装卸费、安装费、调试费、税费等以及甲方在乙方完全履行本合同约定义务后应向乙方支付的所有相关款项和费用。</w:t>
      </w:r>
      <w:bookmarkEnd w:id="29"/>
      <w:bookmarkStart w:id="30" w:name="_Hlk519864775"/>
    </w:p>
    <w:bookmarkEnd w:id="30"/>
    <w:p w14:paraId="1AE19701">
      <w:pPr>
        <w:keepNext/>
        <w:widowControl/>
        <w:numPr>
          <w:ilvl w:val="0"/>
          <w:numId w:val="15"/>
        </w:numPr>
        <w:spacing w:line="360" w:lineRule="auto"/>
        <w:ind w:left="0" w:firstLine="422" w:firstLineChars="200"/>
        <w:jc w:val="left"/>
        <w:rPr>
          <w:rFonts w:ascii="宋体" w:hAnsi="宋体"/>
          <w:kern w:val="44"/>
          <w:szCs w:val="21"/>
        </w:rPr>
      </w:pPr>
      <w:bookmarkStart w:id="31" w:name="_Toc518311988"/>
      <w:r>
        <w:rPr>
          <w:rFonts w:hint="eastAsia" w:ascii="宋体" w:hAnsi="宋体"/>
          <w:b/>
          <w:bCs/>
          <w:kern w:val="44"/>
          <w:szCs w:val="21"/>
        </w:rPr>
        <w:t>货款支付方式及税务</w:t>
      </w:r>
      <w:bookmarkEnd w:id="31"/>
    </w:p>
    <w:p w14:paraId="5B6AB789">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甲方按照以下方式向乙方付款：</w:t>
      </w:r>
    </w:p>
    <w:p w14:paraId="280FE920">
      <w:pPr>
        <w:spacing w:line="360" w:lineRule="auto"/>
        <w:ind w:firstLine="420" w:firstLineChars="200"/>
        <w:rPr>
          <w:rFonts w:ascii="宋体" w:hAnsi="宋体"/>
          <w:szCs w:val="21"/>
        </w:rPr>
      </w:pPr>
      <w:bookmarkStart w:id="32" w:name="_Hlk520054790"/>
      <w:r>
        <w:rPr>
          <w:rFonts w:hint="eastAsia" w:ascii="宋体" w:hAnsi="宋体"/>
          <w:szCs w:val="21"/>
        </w:rPr>
        <w:t>第一期：乙方自订货单对应批次货物经甲方终验合格之日起一个月内，提供该批次货物款项的全额增值税专用发票给甲方。甲方对合同货物终验合格且收到合法有效发票之日起三个月内，一次性支付合同货款的【95%】。</w:t>
      </w:r>
    </w:p>
    <w:p w14:paraId="056F28C0">
      <w:pPr>
        <w:spacing w:line="360" w:lineRule="auto"/>
        <w:ind w:firstLine="420"/>
        <w:rPr>
          <w:rFonts w:ascii="宋体" w:hAnsi="宋体"/>
          <w:szCs w:val="21"/>
        </w:rPr>
      </w:pPr>
      <w:r>
        <w:rPr>
          <w:rFonts w:hint="eastAsia" w:ascii="宋体" w:hAnsi="宋体"/>
          <w:szCs w:val="21"/>
        </w:rPr>
        <w:t>第二期：剩余【</w:t>
      </w:r>
      <w:r>
        <w:rPr>
          <w:rFonts w:ascii="宋体" w:hAnsi="宋体"/>
          <w:szCs w:val="21"/>
        </w:rPr>
        <w:t>5%】</w:t>
      </w:r>
      <w:r>
        <w:rPr>
          <w:rFonts w:hint="eastAsia" w:ascii="宋体" w:hAnsi="宋体"/>
          <w:szCs w:val="21"/>
        </w:rPr>
        <w:t>货款为质量保证金（即质保金），如无质量问题，按以下方式支付：【批次货物质保期满之日起</w:t>
      </w:r>
      <w:r>
        <w:rPr>
          <w:rFonts w:hint="eastAsia" w:ascii="宋体" w:hAnsi="宋体"/>
        </w:rPr>
        <w:t>（质保期为</w:t>
      </w:r>
      <w:r>
        <w:rPr>
          <w:rFonts w:hint="eastAsia" w:ascii="宋体" w:hAnsi="宋体"/>
          <w:u w:val="single"/>
        </w:rPr>
        <w:t xml:space="preserve">   </w:t>
      </w:r>
      <w:r>
        <w:rPr>
          <w:rFonts w:hint="eastAsia" w:ascii="宋体" w:hAnsi="宋体"/>
        </w:rPr>
        <w:t>年）</w:t>
      </w:r>
      <w:r>
        <w:rPr>
          <w:rFonts w:hint="eastAsia" w:ascii="宋体" w:hAnsi="宋体"/>
          <w:szCs w:val="21"/>
        </w:rPr>
        <w:t>】的三个月内支付。</w:t>
      </w:r>
    </w:p>
    <w:p w14:paraId="147B031A">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乙方须按照甲方要求提供合法增值税专用发票</w:t>
      </w:r>
      <w:bookmarkEnd w:id="32"/>
      <w:r>
        <w:rPr>
          <w:rFonts w:hint="eastAsia" w:ascii="宋体" w:hAnsi="宋体"/>
          <w:szCs w:val="21"/>
        </w:rPr>
        <w:t>，否则，甲方有权延期付款，由此造成迟延付款的责任由乙方自行承担。</w:t>
      </w:r>
    </w:p>
    <w:p w14:paraId="4E32BC82">
      <w:pPr>
        <w:numPr>
          <w:ilvl w:val="2"/>
          <w:numId w:val="15"/>
        </w:numPr>
        <w:autoSpaceDE w:val="0"/>
        <w:autoSpaceDN w:val="0"/>
        <w:spacing w:line="360" w:lineRule="auto"/>
        <w:ind w:left="0" w:firstLine="420" w:firstLineChars="200"/>
        <w:rPr>
          <w:rFonts w:ascii="宋体" w:hAnsi="宋体"/>
          <w:szCs w:val="21"/>
        </w:rPr>
      </w:pPr>
      <w:bookmarkStart w:id="33" w:name="_Hlk519866474"/>
      <w:bookmarkStart w:id="34" w:name="_Hlk520055077"/>
      <w:r>
        <w:rPr>
          <w:rFonts w:hint="eastAsia" w:ascii="宋体" w:hAnsi="宋体"/>
          <w:szCs w:val="21"/>
        </w:rPr>
        <w:t>出现国家税收政策调整时，双方应根据实际税收调整情况，以本合同中的货物不含税单价为依据相应调整受影响的合同含税金额，乙方需按照税收调整政策规定开具合法合规发票</w:t>
      </w:r>
      <w:bookmarkEnd w:id="33"/>
      <w:r>
        <w:rPr>
          <w:rFonts w:hint="eastAsia" w:ascii="宋体" w:hAnsi="宋体"/>
          <w:szCs w:val="21"/>
        </w:rPr>
        <w:t>。</w:t>
      </w:r>
    </w:p>
    <w:bookmarkEnd w:id="34"/>
    <w:p w14:paraId="0B76ACAF">
      <w:pPr>
        <w:numPr>
          <w:ilvl w:val="2"/>
          <w:numId w:val="15"/>
        </w:numPr>
        <w:autoSpaceDE w:val="0"/>
        <w:autoSpaceDN w:val="0"/>
        <w:spacing w:line="360" w:lineRule="auto"/>
        <w:ind w:left="0" w:firstLine="420" w:firstLineChars="200"/>
        <w:rPr>
          <w:rFonts w:ascii="宋体" w:hAnsi="宋体"/>
          <w:szCs w:val="21"/>
        </w:rPr>
      </w:pPr>
      <w:bookmarkStart w:id="35" w:name="_Hlk519866191"/>
      <w:bookmarkStart w:id="36" w:name="_Hlk519866172"/>
      <w:r>
        <w:rPr>
          <w:rFonts w:hint="eastAsia" w:ascii="宋体" w:hAnsi="宋体"/>
          <w:szCs w:val="21"/>
        </w:rPr>
        <w:t>乙方指定收款账户如下</w:t>
      </w:r>
      <w:bookmarkEnd w:id="35"/>
      <w:r>
        <w:rPr>
          <w:rFonts w:hint="eastAsia" w:ascii="宋体" w:hAnsi="宋体"/>
          <w:szCs w:val="21"/>
        </w:rPr>
        <w:t>：</w:t>
      </w:r>
    </w:p>
    <w:bookmarkEnd w:id="36"/>
    <w:p w14:paraId="62CB66CD">
      <w:pPr>
        <w:spacing w:line="360" w:lineRule="auto"/>
        <w:ind w:firstLine="422" w:firstLineChars="200"/>
        <w:rPr>
          <w:rFonts w:ascii="宋体" w:hAnsi="宋体"/>
          <w:b/>
          <w:szCs w:val="21"/>
        </w:rPr>
      </w:pPr>
      <w:r>
        <w:rPr>
          <w:rFonts w:hint="eastAsia" w:ascii="宋体" w:hAnsi="宋体"/>
          <w:b/>
          <w:szCs w:val="21"/>
        </w:rPr>
        <w:t>账号：</w:t>
      </w:r>
    </w:p>
    <w:p w14:paraId="3033AD47">
      <w:pPr>
        <w:spacing w:line="360" w:lineRule="auto"/>
        <w:ind w:firstLine="422" w:firstLineChars="200"/>
        <w:rPr>
          <w:rFonts w:ascii="宋体" w:hAnsi="宋体"/>
          <w:b/>
          <w:szCs w:val="21"/>
        </w:rPr>
      </w:pPr>
      <w:r>
        <w:rPr>
          <w:rFonts w:hint="eastAsia" w:ascii="宋体" w:hAnsi="宋体"/>
          <w:b/>
          <w:szCs w:val="21"/>
        </w:rPr>
        <w:t>账户名称：</w:t>
      </w:r>
    </w:p>
    <w:p w14:paraId="498B385C">
      <w:pPr>
        <w:spacing w:line="360" w:lineRule="auto"/>
        <w:ind w:firstLine="422" w:firstLineChars="200"/>
        <w:rPr>
          <w:rFonts w:ascii="宋体" w:hAnsi="宋体"/>
          <w:b/>
          <w:szCs w:val="21"/>
        </w:rPr>
      </w:pPr>
      <w:r>
        <w:rPr>
          <w:rFonts w:hint="eastAsia" w:ascii="宋体" w:hAnsi="宋体"/>
          <w:b/>
          <w:szCs w:val="21"/>
        </w:rPr>
        <w:t>开户行：</w:t>
      </w:r>
      <w:bookmarkStart w:id="37" w:name="_Hlk519866249"/>
    </w:p>
    <w:p w14:paraId="7CFE0AC5">
      <w:pPr>
        <w:spacing w:line="360" w:lineRule="auto"/>
        <w:ind w:firstLine="420" w:firstLineChars="200"/>
        <w:rPr>
          <w:rFonts w:ascii="宋体" w:hAnsi="宋体"/>
          <w:szCs w:val="21"/>
        </w:rPr>
      </w:pPr>
      <w:r>
        <w:rPr>
          <w:rFonts w:hint="eastAsia" w:ascii="宋体" w:hAnsi="宋体"/>
          <w:szCs w:val="21"/>
        </w:rPr>
        <w:t>若乙方需要改变上述账户，应提前【10】个工作日以书面形式通知甲方。若乙方未按本合同规定通知甲方而使乙方遭受损失的，由乙方承担责任。</w:t>
      </w:r>
    </w:p>
    <w:p w14:paraId="38F0103E">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税务</w:t>
      </w:r>
    </w:p>
    <w:p w14:paraId="6CABEAEB">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（1）甲乙双方应各自承担根据中国法律法规向其征收的所有与合同履行有关的税项。</w:t>
      </w:r>
    </w:p>
    <w:p w14:paraId="1A6035C1">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（2）乙方保证其为所提供的货物或服务按中国法律法规足额及时缴纳了应交税款，在合同履行过程中无偷漏税、走私等行为。乙方同意，必要时应向甲方提供相应税项的完税证明文件。</w:t>
      </w:r>
    </w:p>
    <w:p w14:paraId="77FAF4AB">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（3）本合同双方应各自承担其未按中国法律法规足额及时缴纳税款而产生的全部责任。甲方不因签署本合同而导致连带承担乙方的税务责任，如果因此而导致甲方损失的，乙方应当予以赔偿。</w:t>
      </w:r>
    </w:p>
    <w:p w14:paraId="71892FDE">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（4）由于乙方出具的发票不真实、不合格而引起的一切责任（包括商业责任和法律责任）和损失由乙方承担。</w:t>
      </w:r>
    </w:p>
    <w:bookmarkEnd w:id="37"/>
    <w:p w14:paraId="36FE3948">
      <w:pPr>
        <w:keepNext/>
        <w:widowControl/>
        <w:numPr>
          <w:ilvl w:val="0"/>
          <w:numId w:val="15"/>
        </w:numPr>
        <w:spacing w:line="360" w:lineRule="auto"/>
        <w:ind w:left="0" w:firstLine="422" w:firstLineChars="200"/>
        <w:jc w:val="left"/>
        <w:rPr>
          <w:rFonts w:ascii="宋体" w:hAnsi="宋体"/>
          <w:kern w:val="44"/>
          <w:szCs w:val="21"/>
        </w:rPr>
      </w:pPr>
      <w:bookmarkStart w:id="38" w:name="_Toc518311989"/>
      <w:r>
        <w:rPr>
          <w:rFonts w:hint="eastAsia" w:ascii="宋体" w:hAnsi="宋体"/>
          <w:b/>
          <w:bCs/>
          <w:kern w:val="44"/>
          <w:szCs w:val="21"/>
        </w:rPr>
        <w:t>包装和运输</w:t>
      </w:r>
      <w:bookmarkEnd w:id="38"/>
    </w:p>
    <w:p w14:paraId="51E84CB5">
      <w:pPr>
        <w:widowControl/>
        <w:numPr>
          <w:ilvl w:val="2"/>
          <w:numId w:val="16"/>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乙方应负责本合同项下货物的包装、运输、装卸等相关费用，甲方不再另行支付其他费用。</w:t>
      </w:r>
    </w:p>
    <w:p w14:paraId="57D39584">
      <w:pPr>
        <w:widowControl/>
        <w:numPr>
          <w:ilvl w:val="2"/>
          <w:numId w:val="16"/>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乙方应根据货物特点、广东地区的气候特点以及部分货物露天存放的需要，对货物进行坚固包装使其防水、防潮、防腐、防锈、防震等，并在正常情况下适于水运、空运和长途内陆运输及反复装卸和搬运的要求。</w:t>
      </w:r>
    </w:p>
    <w:p w14:paraId="6B1BDA05">
      <w:pPr>
        <w:widowControl/>
        <w:numPr>
          <w:ilvl w:val="2"/>
          <w:numId w:val="16"/>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乙方需在每一包装箱/物表面显著位置以显著方式标明合同/订货单编号、箱号、发货人名称、收货人名称、收货地址、内件品名、尺寸规格、数量、重量等内容。另外乙方应根据货物的特点及其对装卸操作的要求在包装箱显著位置以中文标明“保持干燥”、“小心轻放”、“此面向上”等国际惯用图示。</w:t>
      </w:r>
    </w:p>
    <w:p w14:paraId="2687CF54">
      <w:pPr>
        <w:widowControl/>
        <w:numPr>
          <w:ilvl w:val="2"/>
          <w:numId w:val="16"/>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凡因乙方对货物包装不善、标记不明、防护措施不当或在货物装箱前保管不良及乙方其它原因，致使货物遭到损坏或丢失的，由乙方承担责任。</w:t>
      </w:r>
    </w:p>
    <w:p w14:paraId="4329975E">
      <w:pPr>
        <w:keepNext/>
        <w:widowControl/>
        <w:numPr>
          <w:ilvl w:val="0"/>
          <w:numId w:val="15"/>
        </w:numPr>
        <w:spacing w:line="360" w:lineRule="auto"/>
        <w:ind w:left="0" w:firstLine="422" w:firstLineChars="200"/>
        <w:jc w:val="left"/>
        <w:rPr>
          <w:rFonts w:ascii="宋体" w:hAnsi="宋体"/>
          <w:kern w:val="44"/>
          <w:szCs w:val="21"/>
        </w:rPr>
      </w:pPr>
      <w:bookmarkStart w:id="39" w:name="_Toc518311990"/>
      <w:r>
        <w:rPr>
          <w:rFonts w:hint="eastAsia" w:ascii="宋体" w:hAnsi="宋体"/>
          <w:b/>
          <w:bCs/>
          <w:kern w:val="44"/>
          <w:szCs w:val="21"/>
        </w:rPr>
        <w:t>交付时间及所有权和风险转移</w:t>
      </w:r>
      <w:bookmarkEnd w:id="39"/>
    </w:p>
    <w:p w14:paraId="2DA0C06D">
      <w:pPr>
        <w:numPr>
          <w:ilvl w:val="2"/>
          <w:numId w:val="17"/>
        </w:numPr>
        <w:autoSpaceDE w:val="0"/>
        <w:autoSpaceDN w:val="0"/>
        <w:spacing w:line="360" w:lineRule="auto"/>
        <w:ind w:firstLine="420" w:firstLineChars="200"/>
        <w:rPr>
          <w:rFonts w:ascii="宋体" w:hAnsi="宋体"/>
          <w:szCs w:val="21"/>
        </w:rPr>
      </w:pPr>
      <w:r>
        <w:rPr>
          <w:rFonts w:hint="eastAsia" w:ascii="宋体" w:hAnsi="宋体"/>
          <w:szCs w:val="21"/>
        </w:rPr>
        <w:t>交货时间：交换期从乙方确认或视为确认收到合同之日起计算，如合同对应批次货物有发货通知的，则以合同载明的交货通知之日起计算。乙方应按合同载明的具体日期送货至甲方订货单位指定的地点。甲方订货单位要求的交货期应保证乙方有合理的备货时间，乙方的最长交货期（含备货时间在内）应不超过30个自然日。</w:t>
      </w:r>
    </w:p>
    <w:p w14:paraId="0B02CFD2">
      <w:pPr>
        <w:numPr>
          <w:ilvl w:val="2"/>
          <w:numId w:val="17"/>
        </w:numPr>
        <w:autoSpaceDE w:val="0"/>
        <w:autoSpaceDN w:val="0"/>
        <w:spacing w:line="360" w:lineRule="auto"/>
        <w:ind w:firstLine="420" w:firstLineChars="200"/>
        <w:rPr>
          <w:rFonts w:ascii="宋体" w:hAnsi="宋体"/>
          <w:szCs w:val="21"/>
        </w:rPr>
      </w:pPr>
      <w:r>
        <w:rPr>
          <w:rFonts w:hint="eastAsia" w:ascii="宋体" w:hAnsi="宋体"/>
          <w:szCs w:val="21"/>
        </w:rPr>
        <w:t>货物的所有权，在货物到货验收合格后由乙方转移至甲方。货物损坏、灭失的风险随所有权的转移而由乙方转移至甲方。</w:t>
      </w:r>
    </w:p>
    <w:p w14:paraId="05EB63F0">
      <w:pPr>
        <w:numPr>
          <w:ilvl w:val="2"/>
          <w:numId w:val="17"/>
        </w:numPr>
        <w:autoSpaceDE w:val="0"/>
        <w:autoSpaceDN w:val="0"/>
        <w:spacing w:line="360" w:lineRule="auto"/>
        <w:ind w:firstLine="420" w:firstLineChars="200"/>
        <w:rPr>
          <w:rFonts w:ascii="宋体" w:hAnsi="宋体"/>
          <w:szCs w:val="21"/>
        </w:rPr>
      </w:pPr>
      <w:r>
        <w:rPr>
          <w:rFonts w:hint="eastAsia" w:ascii="宋体" w:hAnsi="宋体"/>
          <w:szCs w:val="21"/>
        </w:rPr>
        <w:t>所有权和风险的转移与否不影响因乙方履行义务不符合约定甲方要求其承担违约责任的权利。</w:t>
      </w:r>
    </w:p>
    <w:p w14:paraId="3265ADF4">
      <w:pPr>
        <w:numPr>
          <w:ilvl w:val="2"/>
          <w:numId w:val="17"/>
        </w:numPr>
        <w:autoSpaceDE w:val="0"/>
        <w:autoSpaceDN w:val="0"/>
        <w:spacing w:line="360" w:lineRule="auto"/>
        <w:ind w:firstLine="420" w:firstLineChars="200"/>
        <w:rPr>
          <w:rFonts w:ascii="宋体" w:hAnsi="宋体"/>
          <w:szCs w:val="21"/>
        </w:rPr>
      </w:pPr>
      <w:r>
        <w:rPr>
          <w:rFonts w:hint="eastAsia" w:ascii="宋体" w:hAnsi="宋体"/>
          <w:szCs w:val="21"/>
        </w:rPr>
        <w:t>如货物需安装调试的，安装调试时间为</w:t>
      </w:r>
      <w:r>
        <w:rPr>
          <w:rFonts w:hint="eastAsia" w:ascii="宋体" w:hAnsi="宋体"/>
          <w:b/>
          <w:szCs w:val="21"/>
        </w:rPr>
        <w:t>：【货物到货后30天内完成】。</w:t>
      </w:r>
    </w:p>
    <w:p w14:paraId="01CF3339">
      <w:pPr>
        <w:spacing w:line="360" w:lineRule="auto"/>
        <w:ind w:firstLine="420" w:firstLineChars="200"/>
        <w:rPr>
          <w:rFonts w:ascii="宋体" w:hAnsi="宋体"/>
          <w:szCs w:val="21"/>
        </w:rPr>
      </w:pPr>
    </w:p>
    <w:p w14:paraId="04ECD36C">
      <w:pPr>
        <w:keepNext/>
        <w:widowControl/>
        <w:numPr>
          <w:ilvl w:val="0"/>
          <w:numId w:val="15"/>
        </w:numPr>
        <w:spacing w:line="360" w:lineRule="auto"/>
        <w:ind w:left="0" w:firstLine="422" w:firstLineChars="200"/>
        <w:jc w:val="left"/>
        <w:rPr>
          <w:rFonts w:ascii="宋体" w:hAnsi="宋体"/>
          <w:kern w:val="44"/>
          <w:szCs w:val="21"/>
        </w:rPr>
      </w:pPr>
      <w:bookmarkStart w:id="40" w:name="_Toc518311991"/>
      <w:r>
        <w:rPr>
          <w:rFonts w:hint="eastAsia" w:ascii="宋体" w:hAnsi="宋体"/>
          <w:b/>
          <w:bCs/>
          <w:kern w:val="44"/>
          <w:szCs w:val="21"/>
        </w:rPr>
        <w:t>货物质量要求</w:t>
      </w:r>
      <w:bookmarkEnd w:id="40"/>
    </w:p>
    <w:p w14:paraId="0C77952E">
      <w:pPr>
        <w:numPr>
          <w:ilvl w:val="3"/>
          <w:numId w:val="18"/>
        </w:numPr>
        <w:autoSpaceDE w:val="0"/>
        <w:autoSpaceDN w:val="0"/>
        <w:spacing w:line="360" w:lineRule="auto"/>
        <w:ind w:firstLine="420" w:firstLineChars="200"/>
        <w:rPr>
          <w:rFonts w:ascii="宋体" w:hAnsi="宋体"/>
          <w:szCs w:val="21"/>
        </w:rPr>
      </w:pPr>
      <w:r>
        <w:rPr>
          <w:rFonts w:hint="eastAsia" w:ascii="宋体" w:hAnsi="宋体"/>
          <w:szCs w:val="21"/>
        </w:rPr>
        <w:t>本合同项下的货物适用下列第【</w:t>
      </w:r>
      <w:r>
        <w:rPr>
          <w:rFonts w:ascii="宋体" w:hAnsi="宋体"/>
          <w:szCs w:val="21"/>
        </w:rPr>
        <w:t>ABC</w:t>
      </w:r>
      <w:r>
        <w:rPr>
          <w:rFonts w:hint="eastAsia" w:ascii="宋体" w:hAnsi="宋体"/>
          <w:szCs w:val="21"/>
        </w:rPr>
        <w:t>】种技术和质量标准（以其中标准最高者为准），</w:t>
      </w:r>
      <w:bookmarkStart w:id="41" w:name="_Hlk520055294"/>
      <w:r>
        <w:rPr>
          <w:rFonts w:hint="eastAsia" w:ascii="宋体" w:hAnsi="宋体"/>
          <w:szCs w:val="21"/>
        </w:rPr>
        <w:t>如果采购文件未明确约定的标准则按国家标准执行，无国家标准的则按行业标准执行：</w:t>
      </w:r>
      <w:bookmarkEnd w:id="41"/>
      <w:r>
        <w:rPr>
          <w:rFonts w:hint="eastAsia" w:ascii="宋体" w:hAnsi="宋体"/>
          <w:szCs w:val="21"/>
        </w:rPr>
        <w:t xml:space="preserve"> </w:t>
      </w:r>
    </w:p>
    <w:p w14:paraId="62A2BFFE">
      <w:pPr>
        <w:numPr>
          <w:ilvl w:val="0"/>
          <w:numId w:val="19"/>
        </w:numPr>
        <w:tabs>
          <w:tab w:val="left" w:pos="1470"/>
        </w:tabs>
        <w:spacing w:line="360" w:lineRule="auto"/>
        <w:ind w:firstLine="420" w:firstLineChars="200"/>
        <w:rPr>
          <w:rFonts w:ascii="宋体" w:hAnsi="宋体"/>
          <w:szCs w:val="21"/>
        </w:rPr>
      </w:pPr>
      <w:r>
        <w:rPr>
          <w:rFonts w:hint="eastAsia" w:ascii="宋体" w:hAnsi="宋体"/>
          <w:szCs w:val="21"/>
        </w:rPr>
        <w:t>按同类货物国家标准；</w:t>
      </w:r>
    </w:p>
    <w:p w14:paraId="18AC705C">
      <w:pPr>
        <w:numPr>
          <w:ilvl w:val="0"/>
          <w:numId w:val="19"/>
        </w:numPr>
        <w:tabs>
          <w:tab w:val="left" w:pos="1470"/>
        </w:tabs>
        <w:spacing w:line="360" w:lineRule="auto"/>
        <w:ind w:firstLine="420" w:firstLineChars="200"/>
        <w:rPr>
          <w:rFonts w:ascii="宋体" w:hAnsi="宋体"/>
          <w:szCs w:val="21"/>
        </w:rPr>
      </w:pPr>
      <w:r>
        <w:rPr>
          <w:rFonts w:hint="eastAsia" w:ascii="宋体" w:hAnsi="宋体"/>
          <w:szCs w:val="21"/>
        </w:rPr>
        <w:t>按同类货物行业标准；</w:t>
      </w:r>
    </w:p>
    <w:p w14:paraId="2A5F3A63">
      <w:pPr>
        <w:numPr>
          <w:ilvl w:val="0"/>
          <w:numId w:val="19"/>
        </w:numPr>
        <w:tabs>
          <w:tab w:val="left" w:pos="1470"/>
        </w:tabs>
        <w:spacing w:line="360" w:lineRule="auto"/>
        <w:ind w:firstLine="420" w:firstLineChars="200"/>
        <w:rPr>
          <w:rFonts w:ascii="宋体" w:hAnsi="宋体"/>
          <w:szCs w:val="21"/>
        </w:rPr>
      </w:pPr>
      <w:r>
        <w:rPr>
          <w:rFonts w:hint="eastAsia" w:ascii="宋体" w:hAnsi="宋体"/>
          <w:szCs w:val="21"/>
        </w:rPr>
        <w:t>按采购文件规定的技术和质量标准及乙方投标文件的承诺执行；</w:t>
      </w:r>
    </w:p>
    <w:p w14:paraId="224FADF3">
      <w:pPr>
        <w:numPr>
          <w:ilvl w:val="0"/>
          <w:numId w:val="19"/>
        </w:numPr>
        <w:tabs>
          <w:tab w:val="left" w:pos="1470"/>
        </w:tabs>
        <w:spacing w:line="360" w:lineRule="auto"/>
        <w:ind w:firstLine="420" w:firstLineChars="200"/>
        <w:rPr>
          <w:rFonts w:ascii="宋体" w:hAnsi="宋体"/>
          <w:szCs w:val="21"/>
        </w:rPr>
      </w:pPr>
      <w:r>
        <w:rPr>
          <w:rFonts w:hint="eastAsia" w:ascii="宋体" w:hAnsi="宋体"/>
          <w:szCs w:val="21"/>
        </w:rPr>
        <w:t>按双方签订本合同前确认的样品（由双方确认后封存）标准执行。</w:t>
      </w:r>
    </w:p>
    <w:p w14:paraId="65D10FC7">
      <w:pPr>
        <w:numPr>
          <w:ilvl w:val="3"/>
          <w:numId w:val="18"/>
        </w:numPr>
        <w:autoSpaceDE w:val="0"/>
        <w:autoSpaceDN w:val="0"/>
        <w:spacing w:line="360" w:lineRule="auto"/>
        <w:ind w:firstLine="420" w:firstLineChars="200"/>
        <w:rPr>
          <w:rFonts w:ascii="宋体" w:hAnsi="宋体"/>
          <w:szCs w:val="21"/>
        </w:rPr>
      </w:pPr>
      <w:bookmarkStart w:id="42" w:name="_Hlk520055458"/>
      <w:r>
        <w:rPr>
          <w:rFonts w:hint="eastAsia" w:ascii="宋体" w:hAnsi="宋体"/>
          <w:szCs w:val="21"/>
        </w:rPr>
        <w:t>乙方的供货货物应为货物制造厂商原造的，全新、未使用过的，提供包括但不限于满足货物使用和维护的技术文件，如中文用户手册、保修服务卡、</w:t>
      </w:r>
      <w:r>
        <w:rPr>
          <w:rFonts w:ascii="宋体" w:hAnsi="宋体"/>
          <w:szCs w:val="21"/>
        </w:rPr>
        <w:t>货物质量合格证书</w:t>
      </w:r>
      <w:r>
        <w:rPr>
          <w:rFonts w:hint="eastAsia" w:ascii="宋体" w:hAnsi="宋体"/>
          <w:szCs w:val="21"/>
        </w:rPr>
        <w:t>等</w:t>
      </w:r>
      <w:r>
        <w:rPr>
          <w:rFonts w:ascii="宋体" w:hAnsi="宋体"/>
          <w:szCs w:val="21"/>
        </w:rPr>
        <w:t>。对于</w:t>
      </w:r>
      <w:r>
        <w:rPr>
          <w:rFonts w:hint="eastAsia" w:ascii="宋体" w:hAnsi="宋体"/>
          <w:szCs w:val="21"/>
        </w:rPr>
        <w:t>采购文件和投标文件中</w:t>
      </w:r>
      <w:r>
        <w:rPr>
          <w:rFonts w:ascii="宋体" w:hAnsi="宋体"/>
          <w:szCs w:val="21"/>
        </w:rPr>
        <w:t>没有列出，而对</w:t>
      </w:r>
      <w:r>
        <w:rPr>
          <w:rFonts w:hint="eastAsia" w:ascii="宋体" w:hAnsi="宋体"/>
          <w:szCs w:val="21"/>
        </w:rPr>
        <w:t>货物</w:t>
      </w:r>
      <w:r>
        <w:rPr>
          <w:rFonts w:ascii="宋体" w:hAnsi="宋体"/>
          <w:szCs w:val="21"/>
        </w:rPr>
        <w:t>的正常使用和维护必不可少的且应属于</w:t>
      </w:r>
      <w:r>
        <w:rPr>
          <w:rFonts w:hint="eastAsia" w:ascii="宋体" w:hAnsi="宋体"/>
          <w:szCs w:val="21"/>
        </w:rPr>
        <w:t>货物</w:t>
      </w:r>
      <w:r>
        <w:rPr>
          <w:rFonts w:ascii="宋体" w:hAnsi="宋体"/>
          <w:szCs w:val="21"/>
        </w:rPr>
        <w:t>需求配带的部件、配件等，</w:t>
      </w:r>
      <w:r>
        <w:rPr>
          <w:rFonts w:hint="eastAsia" w:ascii="宋体" w:hAnsi="宋体"/>
          <w:szCs w:val="21"/>
        </w:rPr>
        <w:t>乙方</w:t>
      </w:r>
      <w:r>
        <w:rPr>
          <w:rFonts w:ascii="宋体" w:hAnsi="宋体"/>
          <w:szCs w:val="21"/>
        </w:rPr>
        <w:t>有责任给予补充。</w:t>
      </w:r>
      <w:bookmarkEnd w:id="42"/>
    </w:p>
    <w:p w14:paraId="20573098">
      <w:pPr>
        <w:numPr>
          <w:ilvl w:val="3"/>
          <w:numId w:val="18"/>
        </w:numPr>
        <w:autoSpaceDE w:val="0"/>
        <w:autoSpaceDN w:val="0"/>
        <w:spacing w:line="360" w:lineRule="auto"/>
        <w:ind w:firstLine="420" w:firstLineChars="200"/>
        <w:rPr>
          <w:rFonts w:ascii="宋体" w:hAnsi="宋体"/>
          <w:szCs w:val="21"/>
        </w:rPr>
      </w:pPr>
      <w:r>
        <w:rPr>
          <w:rFonts w:hint="eastAsia" w:ascii="宋体" w:hAnsi="宋体"/>
          <w:szCs w:val="21"/>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货物必须附有原产地证明、中华人民共和国商检机构的检验证明、合法进货渠道证明及海关完税证明，此外，有关技术资料中须附有全文翻译的、完整的中文文本。</w:t>
      </w:r>
    </w:p>
    <w:p w14:paraId="4BEFEEE4">
      <w:pPr>
        <w:keepNext/>
        <w:widowControl/>
        <w:numPr>
          <w:ilvl w:val="0"/>
          <w:numId w:val="15"/>
        </w:numPr>
        <w:spacing w:line="360" w:lineRule="auto"/>
        <w:ind w:left="0" w:firstLine="422" w:firstLineChars="200"/>
        <w:jc w:val="left"/>
        <w:rPr>
          <w:rFonts w:ascii="宋体" w:hAnsi="宋体"/>
          <w:kern w:val="44"/>
          <w:szCs w:val="21"/>
        </w:rPr>
      </w:pPr>
      <w:bookmarkStart w:id="43" w:name="_Toc518311992"/>
      <w:r>
        <w:rPr>
          <w:rFonts w:hint="eastAsia" w:ascii="宋体" w:hAnsi="宋体"/>
          <w:b/>
          <w:bCs/>
          <w:kern w:val="44"/>
          <w:szCs w:val="21"/>
        </w:rPr>
        <w:t>到货验收</w:t>
      </w:r>
      <w:bookmarkEnd w:id="43"/>
    </w:p>
    <w:p w14:paraId="4EAC7918">
      <w:pPr>
        <w:numPr>
          <w:ilvl w:val="2"/>
          <w:numId w:val="20"/>
        </w:numPr>
        <w:autoSpaceDE w:val="0"/>
        <w:autoSpaceDN w:val="0"/>
        <w:spacing w:line="360" w:lineRule="auto"/>
        <w:ind w:firstLine="420" w:firstLineChars="200"/>
        <w:rPr>
          <w:rFonts w:ascii="宋体" w:hAnsi="宋体"/>
          <w:szCs w:val="21"/>
        </w:rPr>
      </w:pPr>
      <w:r>
        <w:rPr>
          <w:rFonts w:hint="eastAsia" w:ascii="宋体" w:hAnsi="宋体"/>
          <w:szCs w:val="21"/>
        </w:rPr>
        <w:t>货物运送到甲方指定地点后，由甲方进行到货验收，并签署收货单。如所交货物的名称、规格型号、数量、外观等外在情况与合同/订货单规定相符，则收货单的日期视为乙方正式交付货物的日期。</w:t>
      </w:r>
    </w:p>
    <w:p w14:paraId="49AE6682">
      <w:pPr>
        <w:numPr>
          <w:ilvl w:val="2"/>
          <w:numId w:val="20"/>
        </w:numPr>
        <w:autoSpaceDE w:val="0"/>
        <w:autoSpaceDN w:val="0"/>
        <w:spacing w:line="360" w:lineRule="auto"/>
        <w:ind w:firstLine="420" w:firstLineChars="200"/>
        <w:rPr>
          <w:rFonts w:ascii="宋体" w:hAnsi="宋体"/>
          <w:szCs w:val="21"/>
        </w:rPr>
      </w:pPr>
      <w:r>
        <w:rPr>
          <w:rFonts w:hint="eastAsia" w:ascii="宋体" w:hAnsi="宋体"/>
          <w:szCs w:val="21"/>
        </w:rPr>
        <w:t>如果在到货验收中发现货物短缺、毁损等与合同/订货单规定不符的情况，甲方应及时向乙方发出补货/换货通知。乙方应负责于甲方指定的合理期限内（最长不超过【7】日）进行补充、更换货物并送至甲方指定地点，补充或更换货物的费用由乙方承担。如在甲方指定的期限内，乙方未能进行补充或更换，乙方应承担逾期交货的违约责任。</w:t>
      </w:r>
    </w:p>
    <w:p w14:paraId="429F6C6F">
      <w:pPr>
        <w:numPr>
          <w:ilvl w:val="2"/>
          <w:numId w:val="20"/>
        </w:numPr>
        <w:autoSpaceDE w:val="0"/>
        <w:autoSpaceDN w:val="0"/>
        <w:spacing w:line="360" w:lineRule="auto"/>
        <w:ind w:firstLine="420" w:firstLineChars="200"/>
        <w:rPr>
          <w:rFonts w:ascii="宋体" w:hAnsi="宋体"/>
          <w:szCs w:val="21"/>
        </w:rPr>
      </w:pPr>
      <w:r>
        <w:rPr>
          <w:rFonts w:hint="eastAsia" w:ascii="宋体" w:hAnsi="宋体"/>
          <w:szCs w:val="21"/>
        </w:rPr>
        <w:t>收货单仅视为甲方确认货物的规格型号、数量、外观等外在情况符合要求，而不是甲方对货物质量的确认。收货单的签署不使甲方丧失因质量问题而向乙方索赔和求偿的权利，同时不解除乙方对于货物质量缺陷或瑕疵负有的相应担保责任。</w:t>
      </w:r>
    </w:p>
    <w:p w14:paraId="790FA4AE">
      <w:pPr>
        <w:numPr>
          <w:ilvl w:val="2"/>
          <w:numId w:val="20"/>
        </w:numPr>
        <w:autoSpaceDE w:val="0"/>
        <w:autoSpaceDN w:val="0"/>
        <w:spacing w:line="360" w:lineRule="auto"/>
        <w:ind w:firstLine="420" w:firstLineChars="200"/>
        <w:rPr>
          <w:rFonts w:ascii="宋体" w:hAnsi="宋体"/>
          <w:szCs w:val="21"/>
        </w:rPr>
      </w:pPr>
      <w:r>
        <w:rPr>
          <w:rFonts w:hint="eastAsia" w:ascii="宋体" w:hAnsi="宋体"/>
          <w:szCs w:val="21"/>
        </w:rPr>
        <w:t>甲方可在签收货物之日起的【10】个工作日内进行抽样检测，开箱合格率</w:t>
      </w:r>
      <w:r>
        <w:rPr>
          <w:rFonts w:ascii="宋体" w:hAnsi="宋体"/>
          <w:szCs w:val="21"/>
        </w:rPr>
        <w:t>=</w:t>
      </w:r>
      <w:r>
        <w:rPr>
          <w:rFonts w:hint="eastAsia" w:ascii="宋体" w:hAnsi="宋体"/>
          <w:szCs w:val="21"/>
        </w:rPr>
        <w:t>（开箱检验合格数</w:t>
      </w:r>
      <w:r>
        <w:rPr>
          <w:rFonts w:ascii="宋体" w:hAnsi="宋体"/>
          <w:szCs w:val="21"/>
        </w:rPr>
        <w:t>/</w:t>
      </w:r>
      <w:r>
        <w:rPr>
          <w:rFonts w:hint="eastAsia" w:ascii="宋体" w:hAnsi="宋体"/>
          <w:szCs w:val="21"/>
        </w:rPr>
        <w:t>开箱检验总数）</w:t>
      </w:r>
      <w:r>
        <w:rPr>
          <w:rFonts w:ascii="宋体" w:hAnsi="宋体"/>
          <w:szCs w:val="21"/>
        </w:rPr>
        <w:t>*100%</w:t>
      </w:r>
      <w:r>
        <w:rPr>
          <w:rFonts w:hint="eastAsia" w:ascii="宋体" w:hAnsi="宋体"/>
          <w:szCs w:val="21"/>
        </w:rPr>
        <w:t>，开箱合格率必须大于【99.99】%，否则视为到货验收不合格。到货验收不合格，甲方有权退货并要求乙方向甲方支付本批次订货单货款总额的【5】%作为当次抽检不合格违约金，乙方支付当次抽检不合格违约金并不免除乙方其他违约责任及义务。乙方必须在甲方发出退货通知之日起【10】个工作日内全部返还甲方已付本批次货物款项，支付违约金，并承担因退货产生的一切费用。</w:t>
      </w:r>
    </w:p>
    <w:p w14:paraId="682D968D">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甲方应在抽样检测货物之日起的【</w:t>
      </w:r>
      <w:r>
        <w:rPr>
          <w:rFonts w:ascii="宋体" w:hAnsi="宋体"/>
          <w:szCs w:val="21"/>
        </w:rPr>
        <w:t>10】</w:t>
      </w:r>
      <w:r>
        <w:rPr>
          <w:rFonts w:hint="eastAsia" w:ascii="宋体" w:hAnsi="宋体"/>
          <w:szCs w:val="21"/>
        </w:rPr>
        <w:t>个工作日内根据抽样检测结果给出该批次货物的书面到货验收结论，否则乙方有权认为该批次货物通过甲方到货验收合格。</w:t>
      </w:r>
    </w:p>
    <w:p w14:paraId="37F59C6E">
      <w:pPr>
        <w:keepNext/>
        <w:widowControl/>
        <w:numPr>
          <w:ilvl w:val="0"/>
          <w:numId w:val="15"/>
        </w:numPr>
        <w:spacing w:line="360" w:lineRule="auto"/>
        <w:ind w:left="0" w:firstLine="422" w:firstLineChars="200"/>
        <w:jc w:val="left"/>
        <w:rPr>
          <w:rFonts w:ascii="宋体" w:hAnsi="宋体"/>
          <w:kern w:val="44"/>
          <w:szCs w:val="21"/>
        </w:rPr>
      </w:pPr>
      <w:bookmarkStart w:id="44" w:name="_Toc518311993"/>
      <w:r>
        <w:rPr>
          <w:rFonts w:hint="eastAsia" w:ascii="宋体" w:hAnsi="宋体"/>
          <w:b/>
          <w:bCs/>
          <w:kern w:val="44"/>
          <w:szCs w:val="21"/>
        </w:rPr>
        <w:t>货物验</w:t>
      </w:r>
      <w:bookmarkEnd w:id="44"/>
      <w:r>
        <w:rPr>
          <w:rFonts w:hint="eastAsia" w:ascii="宋体" w:hAnsi="宋体"/>
          <w:b/>
          <w:bCs/>
          <w:kern w:val="44"/>
          <w:szCs w:val="21"/>
        </w:rPr>
        <w:t>收</w:t>
      </w:r>
    </w:p>
    <w:p w14:paraId="647EEF71">
      <w:pPr>
        <w:widowControl/>
        <w:numPr>
          <w:ilvl w:val="0"/>
          <w:numId w:val="21"/>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到货表面验收合格后，应进行货物终验，“货物终验合格”视为“货物验收合格”。</w:t>
      </w:r>
    </w:p>
    <w:p w14:paraId="74B4A6D4">
      <w:pPr>
        <w:numPr>
          <w:ilvl w:val="0"/>
          <w:numId w:val="21"/>
        </w:numPr>
        <w:autoSpaceDE w:val="0"/>
        <w:autoSpaceDN w:val="0"/>
        <w:spacing w:line="360" w:lineRule="auto"/>
        <w:ind w:firstLine="422" w:firstLineChars="200"/>
        <w:rPr>
          <w:rFonts w:ascii="宋体" w:hAnsi="宋体"/>
          <w:szCs w:val="21"/>
        </w:rPr>
      </w:pPr>
      <w:r>
        <w:rPr>
          <w:rFonts w:hint="eastAsia" w:ascii="宋体" w:hAnsi="宋体"/>
          <w:b/>
          <w:szCs w:val="21"/>
        </w:rPr>
        <w:t>货物终验</w:t>
      </w:r>
      <w:r>
        <w:rPr>
          <w:rFonts w:hint="eastAsia" w:ascii="宋体" w:hAnsi="宋体"/>
          <w:szCs w:val="21"/>
        </w:rPr>
        <w:t>。根据采购文件要求，甲方根据需要组织货物终验。</w:t>
      </w:r>
      <w:r>
        <w:rPr>
          <w:rFonts w:hint="eastAsia" w:ascii="宋体" w:hAnsi="宋体"/>
          <w:b/>
          <w:szCs w:val="21"/>
        </w:rPr>
        <w:t>合同货物交付并完成安装、调试，连续稳定试运行满【30】日可交付终验。</w:t>
      </w:r>
      <w:r>
        <w:rPr>
          <w:rFonts w:hint="eastAsia" w:ascii="宋体" w:hAnsi="宋体"/>
          <w:szCs w:val="21"/>
        </w:rPr>
        <w:t>乙方应以书面形式向甲方提交货物的终验申请、货物自验情况。甲方自接到乙方的终验书面申请之日起的【15】个工作日内需给出该批次货物的书面终验结论，否则乙方有权认为该批次货物通过终验。如果达到采购文件中的验收标准，乙方及甲方在《货物终验报告》上签字，确认该批次订货单货物终验合格。如第一次终验不通过，甲方有权要求乙方在不影响甲方正常业务运营的前提下进行整改，直至达到采购文件中的验收标准、产品说明书和相关技术规范要求，或要求乙方更换全新货物并重做试运行和终验。乙方整改或更换货物的同时，应承担逾期交货的违约责任。</w:t>
      </w:r>
      <w:r>
        <w:rPr>
          <w:rFonts w:hint="eastAsia" w:ascii="宋体" w:hAnsi="宋体"/>
          <w:b/>
          <w:szCs w:val="21"/>
        </w:rPr>
        <w:t>如终验【2】次均没有通过，甲方有权单方解除依照本合同，乙方必须在第二次终验未通过之日起【5】个工作日内全部返还甲方已付本合同货物款项，并支付本合同货款的20%的违约金。</w:t>
      </w:r>
      <w:r>
        <w:rPr>
          <w:rFonts w:hint="eastAsia" w:ascii="宋体" w:hAnsi="宋体"/>
          <w:szCs w:val="21"/>
        </w:rPr>
        <w:t>完成返还货款和赔偿损失后乙方方可自行回收货物，由此引起的拆卸费用、保险费及运输费等其它一切费用由乙方负责。</w:t>
      </w:r>
    </w:p>
    <w:p w14:paraId="5170F89E">
      <w:pPr>
        <w:keepNext/>
        <w:widowControl/>
        <w:numPr>
          <w:ilvl w:val="0"/>
          <w:numId w:val="15"/>
        </w:numPr>
        <w:spacing w:line="360" w:lineRule="auto"/>
        <w:ind w:left="0" w:firstLine="422" w:firstLineChars="200"/>
        <w:jc w:val="left"/>
        <w:rPr>
          <w:rFonts w:ascii="宋体" w:hAnsi="宋体"/>
          <w:kern w:val="44"/>
          <w:szCs w:val="21"/>
        </w:rPr>
      </w:pPr>
      <w:bookmarkStart w:id="45" w:name="_Toc518311996"/>
      <w:r>
        <w:rPr>
          <w:rFonts w:hint="eastAsia" w:ascii="宋体" w:hAnsi="宋体"/>
          <w:b/>
          <w:bCs/>
          <w:kern w:val="44"/>
          <w:szCs w:val="21"/>
        </w:rPr>
        <w:t>质保期和售后服务</w:t>
      </w:r>
      <w:bookmarkEnd w:id="45"/>
    </w:p>
    <w:p w14:paraId="75FEAAEC">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质量保证期（简称“质保期”）为以下方式：</w:t>
      </w:r>
    </w:p>
    <w:p w14:paraId="45F024A8">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货物终验合格并正式投入使用之日起【  】年。配件与主产品的质保期一致。</w:t>
      </w:r>
    </w:p>
    <w:p w14:paraId="28BB23DD">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质保期内，对保修范围内的保修服务所发生的全部物质损耗和人员费用，均由乙方予以承担。乙方未及时承担保修责任的，甲方有权采用其他渠道和方式对乙方货物进行维修、补正，由此产生的费用由乙方承担。</w:t>
      </w:r>
    </w:p>
    <w:p w14:paraId="2E5B9F2A">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内,如果因为乙方有缺陷的设计和生产造成货物的性能和质量与合同规定不符，乙方应负责免费排除缺陷，修理或替换出现故障的部件、元件和设备。这些替换品不包括合同中规定的由乙方向甲方提供的维护用的备件。紧急情况下，为了使设备正常运行，乙方经甲方同意可以使用甲方的备件。使用结束后，乙方应及时归还或配齐使用过的所有备件。在质保期满前三个月内修理或替换的部件、元件和设备应将其质保期延长至质保期满后三个月。</w:t>
      </w:r>
    </w:p>
    <w:p w14:paraId="0BF5EBD9">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质保期内，乙方应免费纠正或替换任何与本合同规定的功能有偏差的软件部分。纠正或替换的软件相关技术文件资料应及时免费提供给甲方。</w:t>
      </w:r>
    </w:p>
    <w:p w14:paraId="74659249">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内，如果乙方因同一问题，对其货物或服务实施两次或两次以上修理、替换、纠偏等措施仍不能解决问题，造成甲方或订货单位有关系统、设备无法正常运行或服务无法正常开展的，甲方有权单方解除合同，乙方应承担由此给甲方造成的全部损失承担赔偿责任。</w:t>
      </w:r>
    </w:p>
    <w:p w14:paraId="77A9EC08">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质保期内，虽甲方未提出要求，但乙方/软件版权人仍单方在技术上对本合同软件进行升级、扩容或更新的，则乙方承诺甲方能够免费获得上述软件版本升级、扩容或更新服务。</w:t>
      </w:r>
    </w:p>
    <w:p w14:paraId="4CD0F64D">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质保期内，乙方应提供全天24小时的技术支持服务。技术支持联系方式：联系人【    】、移动电话【     】、邮箱【        】，广东地区常驻机构24小时服务热线电话【     】。如果出现紧急技术问题，在甲方通过电话或电子邮件通知乙方的情况下，乙方应当保证制造厂家技术人员在【</w:t>
      </w:r>
      <w:r>
        <w:rPr>
          <w:rFonts w:ascii="宋体" w:hAnsi="宋体"/>
          <w:szCs w:val="21"/>
        </w:rPr>
        <w:t>30</w:t>
      </w:r>
      <w:r>
        <w:rPr>
          <w:rFonts w:hint="eastAsia" w:ascii="宋体" w:hAnsi="宋体"/>
          <w:szCs w:val="21"/>
        </w:rPr>
        <w:t>分钟】内响应，【</w:t>
      </w:r>
      <w:r>
        <w:rPr>
          <w:rFonts w:ascii="宋体" w:hAnsi="宋体"/>
          <w:szCs w:val="21"/>
        </w:rPr>
        <w:t>8</w:t>
      </w:r>
      <w:r>
        <w:rPr>
          <w:rFonts w:hint="eastAsia" w:ascii="宋体" w:hAnsi="宋体"/>
          <w:szCs w:val="21"/>
        </w:rPr>
        <w:t>小时】内到达故障现场，若乙方确认故障需更换设备或板卡，应在【</w:t>
      </w:r>
      <w:r>
        <w:rPr>
          <w:rFonts w:ascii="宋体" w:hAnsi="宋体"/>
          <w:szCs w:val="21"/>
        </w:rPr>
        <w:t>24</w:t>
      </w:r>
      <w:r>
        <w:rPr>
          <w:rFonts w:hint="eastAsia" w:ascii="宋体" w:hAnsi="宋体"/>
          <w:szCs w:val="21"/>
        </w:rPr>
        <w:t>小时】内提供并更换完毕，使其恢复正常。</w:t>
      </w:r>
    </w:p>
    <w:p w14:paraId="0785CA82">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 xml:space="preserve">质保期内，乙方承诺在甲方要求时免费提供乙方所提供货物或服务正常运行、实施时所必需的基本技术支持（含现场服务），包括但不限于： </w:t>
      </w:r>
    </w:p>
    <w:p w14:paraId="32B68B3C">
      <w:pPr>
        <w:numPr>
          <w:ilvl w:val="0"/>
          <w:numId w:val="22"/>
        </w:numPr>
        <w:tabs>
          <w:tab w:val="left" w:pos="709"/>
        </w:tabs>
        <w:spacing w:line="360" w:lineRule="auto"/>
        <w:ind w:firstLine="420" w:firstLineChars="200"/>
        <w:rPr>
          <w:rFonts w:ascii="宋体" w:hAnsi="宋体"/>
          <w:szCs w:val="21"/>
        </w:rPr>
      </w:pPr>
      <w:r>
        <w:rPr>
          <w:rFonts w:hint="eastAsia" w:ascii="宋体" w:hAnsi="宋体"/>
          <w:szCs w:val="21"/>
        </w:rPr>
        <w:t>为保证货物或服务运行、实施所需的预防性维护、日常维护支持、网络调整支持、数据备份支持等工作；</w:t>
      </w:r>
    </w:p>
    <w:p w14:paraId="20084481">
      <w:pPr>
        <w:numPr>
          <w:ilvl w:val="0"/>
          <w:numId w:val="22"/>
        </w:numPr>
        <w:tabs>
          <w:tab w:val="left" w:pos="709"/>
        </w:tabs>
        <w:spacing w:line="360" w:lineRule="auto"/>
        <w:ind w:firstLine="420" w:firstLineChars="200"/>
        <w:rPr>
          <w:rFonts w:ascii="宋体" w:hAnsi="宋体"/>
          <w:szCs w:val="21"/>
        </w:rPr>
      </w:pPr>
      <w:r>
        <w:rPr>
          <w:rFonts w:hint="eastAsia" w:ascii="宋体" w:hAnsi="宋体"/>
          <w:szCs w:val="21"/>
        </w:rPr>
        <w:t>对乙方提供货物硬件、系统软件、应用软件以及其它相关新技术和新业务的日常技术咨询服务。</w:t>
      </w:r>
    </w:p>
    <w:p w14:paraId="7838DC2E">
      <w:pPr>
        <w:numPr>
          <w:ilvl w:val="0"/>
          <w:numId w:val="22"/>
        </w:numPr>
        <w:tabs>
          <w:tab w:val="left" w:pos="709"/>
        </w:tabs>
        <w:spacing w:line="360" w:lineRule="auto"/>
        <w:ind w:firstLine="420" w:firstLineChars="200"/>
        <w:rPr>
          <w:rFonts w:ascii="宋体" w:hAnsi="宋体"/>
          <w:szCs w:val="21"/>
        </w:rPr>
      </w:pPr>
      <w:r>
        <w:rPr>
          <w:rFonts w:hint="eastAsia" w:ascii="宋体" w:hAnsi="宋体"/>
          <w:szCs w:val="21"/>
        </w:rPr>
        <w:t>乙方提供的货物需要搬迁时，派遣专业技术人员现场支持，向甲方提供合理、可行的搬迁技术方案，并保证搬迁后货物和服务的正常运行、实施。</w:t>
      </w:r>
    </w:p>
    <w:p w14:paraId="3863D051">
      <w:pPr>
        <w:widowControl/>
        <w:numPr>
          <w:ilvl w:val="2"/>
          <w:numId w:val="15"/>
        </w:numPr>
        <w:tabs>
          <w:tab w:val="left" w:pos="709"/>
        </w:tabs>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间及质保期满后，只要乙方提供货物、服务仍在正常运行、实施，则对正常运行过程中的设备损耗所需零部件，乙方保证按甲方需求，以不高于本合同的成交价格（指各零部件的单价）向甲方提供与原货物货名和型号相同的零部件。拒不提供的，乙方应承担由此引起的甲方系统、网络故障导致的全部损失。</w:t>
      </w:r>
    </w:p>
    <w:p w14:paraId="683B73C9">
      <w:pPr>
        <w:widowControl/>
        <w:numPr>
          <w:ilvl w:val="2"/>
          <w:numId w:val="15"/>
        </w:numPr>
        <w:tabs>
          <w:tab w:val="left" w:pos="851"/>
        </w:tabs>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间及质保期满后，若乙方和/或合同系统所需零部件生产厂商决定停止生产合同系统所需全部或部分零部件，或乙方和/或生产厂商发生分立、合并、被收购或破产、撤消或终止经营的，乙方必须在上述事由正式发生前1个月以书面形式通知甲方，甲方有权依据需要订购所需的任何零部件，乙方应继续以不高于本合同的成交价格供货。</w:t>
      </w:r>
    </w:p>
    <w:p w14:paraId="4BD5E758">
      <w:pPr>
        <w:widowControl/>
        <w:numPr>
          <w:ilvl w:val="2"/>
          <w:numId w:val="15"/>
        </w:numPr>
        <w:tabs>
          <w:tab w:val="left" w:pos="851"/>
        </w:tabs>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满后，乙方对甲方提供维修服务。对乙方提供的货物或服务在运行、实施中出现的一般故障或检修，乙方保证收到甲方通知后的合理期限内，指派专业技术人员赶赴现场进行抢修或提供技术支持，对发生故障的设备或部件进行维修。乙方承诺对上述维修中所发生的费用，仅收取实际生产成本和相关的直接费用。未及时提供维修服务的，乙方应对因此而产生的损失承担赔偿责任。</w:t>
      </w:r>
    </w:p>
    <w:p w14:paraId="68190870">
      <w:pPr>
        <w:widowControl/>
        <w:numPr>
          <w:ilvl w:val="2"/>
          <w:numId w:val="15"/>
        </w:numPr>
        <w:tabs>
          <w:tab w:val="left" w:pos="851"/>
        </w:tabs>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质保期满后，乙方仍应根据甲方的要求按照甲方的技术规范对其软件进行修改、更新和完善，并提供必要的技术支持。在甲方提出新的业务功能需求、技术要求或技术规范时，甲方应在双方确认需求后下达新的订货单或与乙方签订标的补充合同。软件的修改、更新、版本升级的价格和商务条件应不劣于此前的合同。</w:t>
      </w:r>
    </w:p>
    <w:p w14:paraId="236598FD">
      <w:pPr>
        <w:keepNext/>
        <w:widowControl/>
        <w:numPr>
          <w:ilvl w:val="0"/>
          <w:numId w:val="15"/>
        </w:numPr>
        <w:spacing w:line="360" w:lineRule="auto"/>
        <w:ind w:left="0" w:firstLine="422" w:firstLineChars="200"/>
        <w:jc w:val="left"/>
        <w:rPr>
          <w:rFonts w:ascii="宋体" w:hAnsi="宋体"/>
          <w:kern w:val="44"/>
          <w:szCs w:val="21"/>
        </w:rPr>
      </w:pPr>
      <w:bookmarkStart w:id="46" w:name="_Toc518311997"/>
      <w:r>
        <w:rPr>
          <w:rFonts w:hint="eastAsia" w:ascii="宋体" w:hAnsi="宋体"/>
          <w:b/>
          <w:bCs/>
          <w:kern w:val="44"/>
          <w:szCs w:val="21"/>
        </w:rPr>
        <w:t>知识产权</w:t>
      </w:r>
      <w:bookmarkEnd w:id="46"/>
    </w:p>
    <w:p w14:paraId="0BAAF5C2">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乙方保证对其销售的货物及提供的服务拥有完全的所有权/处置权或取得相关授权，无任何著作权、商标权或其他知识产权方面的权利限制或瑕疵。否则，因此给甲方造成损失的，乙方应承担全部赔偿责任。</w:t>
      </w:r>
    </w:p>
    <w:p w14:paraId="38A2D0C5">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乙方应保证甲方在中华人民共和国使用该货物或货物的任何一部分或乙方提供的技术资料、软件时，免受第三方提出的侵犯其专利权、商标权或其他知识产权的起诉、追索或禁止或限制使用。如发生此类纠纷，由乙方承担一切责任。乙方应对货物以及货物的任何一部分所涉及的一切专利、版权、商标（牌照）、技术和商业秘密等知识产权或信息的使用和授权许可承担全部费用和责任，并保证甲方的利益不受任何损害并免受任何起诉、追索或禁止或限制使用。一切由于上述知识产权或信息侵权导致的仲裁、诉讼、聘请律师、调查、取证、公证等纠纷解决费用和责任均由乙方承担，造成甲方或甲方损失的，乙方应予以赔偿。</w:t>
      </w:r>
    </w:p>
    <w:p w14:paraId="592FDF5F">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乙方为执行本合同而提供的技术资料、软件的使用权归甲方所有。</w:t>
      </w:r>
    </w:p>
    <w:p w14:paraId="1C991622">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乙方在向甲方提供货物过程中形成的智力成果，其知识产权归属【甲方】所有。乙方按甲方提出的要求、业务规范、标准等所开发出的智力成果，均必须遵循以下约定：</w:t>
      </w:r>
    </w:p>
    <w:p w14:paraId="37F2C8EE">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（1）在未经甲方书面允许的情况下，乙方不得以任何方式将智力成果相关的产品、文档及或任何数据、程序向甲方以外的任何第三方明示或暗示地披露、提供或以任何方式加以利用。</w:t>
      </w:r>
    </w:p>
    <w:p w14:paraId="78131D3C">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乙方不得将在按甲方提供的工程业务规范、标准和要求开发上述相关软件产品的过程中获悉的任何技术文档、相关的技术规范或技术标准明示或暗示地提供或透露给除甲方以外的任何第三方或以任何方式利用。</w:t>
      </w:r>
    </w:p>
    <w:p w14:paraId="105591A4">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（3）对于软件产品，乙方应在终验前向甲方提供上述所有软件信息和资料，并保证在其发生变更后及时告知甲方，包括但不限于：</w:t>
      </w:r>
    </w:p>
    <w:p w14:paraId="3DC10A62">
      <w:pPr>
        <w:tabs>
          <w:tab w:val="left" w:pos="820"/>
        </w:tabs>
        <w:spacing w:line="360" w:lineRule="auto"/>
        <w:ind w:firstLine="420" w:firstLineChars="200"/>
        <w:rPr>
          <w:rFonts w:ascii="宋体" w:hAnsi="宋体"/>
          <w:szCs w:val="21"/>
        </w:rPr>
      </w:pPr>
      <w:r>
        <w:rPr>
          <w:rFonts w:hint="eastAsia" w:ascii="宋体" w:hAnsi="宋体"/>
          <w:szCs w:val="21"/>
        </w:rPr>
        <w:t>A. 该软件产品的概要设计、功能设计的详细文档及源代码，类库定义说明文档和类库本身；</w:t>
      </w:r>
    </w:p>
    <w:p w14:paraId="31B82838">
      <w:pPr>
        <w:tabs>
          <w:tab w:val="left" w:pos="820"/>
        </w:tabs>
        <w:spacing w:line="360" w:lineRule="auto"/>
        <w:ind w:firstLine="420" w:firstLineChars="200"/>
        <w:rPr>
          <w:rFonts w:ascii="宋体" w:hAnsi="宋体"/>
          <w:szCs w:val="21"/>
        </w:rPr>
      </w:pPr>
      <w:r>
        <w:rPr>
          <w:rFonts w:hint="eastAsia" w:ascii="宋体" w:hAnsi="宋体"/>
          <w:szCs w:val="21"/>
        </w:rPr>
        <w:t>B. 涉及软件数据库结构的详细文档，包括数据模型、数据字典等；</w:t>
      </w:r>
    </w:p>
    <w:p w14:paraId="00EBC54A">
      <w:pPr>
        <w:tabs>
          <w:tab w:val="left" w:pos="820"/>
        </w:tabs>
        <w:spacing w:line="360" w:lineRule="auto"/>
        <w:ind w:firstLine="420" w:firstLineChars="200"/>
        <w:rPr>
          <w:rFonts w:ascii="宋体" w:hAnsi="宋体"/>
          <w:szCs w:val="21"/>
        </w:rPr>
      </w:pPr>
      <w:r>
        <w:rPr>
          <w:rFonts w:hint="eastAsia" w:ascii="宋体" w:hAnsi="宋体"/>
          <w:szCs w:val="21"/>
        </w:rPr>
        <w:t>C. 乙方专门为甲方的相关业务流程功能、性能进行测试而定制开发的测试软件工具的技术文档及源代码。</w:t>
      </w:r>
    </w:p>
    <w:p w14:paraId="6FFC4C4C">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本合同履行完毕后，乙方应将所有与上述软件产品有关的、以任何形式载有的技术资料、数据或程序（包括其电子文档）全部的完整的交给甲方，不得有任何缺漏。</w:t>
      </w:r>
    </w:p>
    <w:p w14:paraId="3D07E417">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如因乙方违反或不履行本条上述条款的规定而直接或间接地使第三人使用了相关智力成果或技术规范、标准、流程的，则乙方应承担因此给甲方或甲方造成的全部损失。</w:t>
      </w:r>
    </w:p>
    <w:p w14:paraId="72C61BB2">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软件使用许可权：甲方向乙方购买软件使用许可，或乙方向甲方或甲方提供的货物或服务包含了某项软件，而该软件是该货物或服务得以正常使用、实施的前提时，乙方除应遵循本合同/订货单的约定外，还应遵循如下约定：</w:t>
      </w:r>
    </w:p>
    <w:p w14:paraId="35217799">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（1）乙方的软件使用授权许可是不可撤消的，甲方或甲方使用软件的方式包括但不限于：使用、复制、展示、修改、翻译、注释等，本合同/订货单中另有约定的除外。</w:t>
      </w:r>
    </w:p>
    <w:p w14:paraId="5FF5ECD7">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（2）如果乙方提供的软件包括第三方拥有著作权的第三方软件，该第三方软件是乙方通过与第三方签订著作权许可协议而可以合法使用的，乙方须保证并许可甲方使用上述第三方软件。</w:t>
      </w:r>
    </w:p>
    <w:p w14:paraId="788BE026">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3）甲方有权在本合同/订货单约定的有效期内或乙方提供货物、服务使用期间，持续并不受干扰地使用乙方向其提供的，或货物、服务中附带的所有软件；并且除合同规定的各笔款项外，甲方不必就使用上述软件而另外交纳任何其他费用。</w:t>
      </w:r>
    </w:p>
    <w:p w14:paraId="29230F29">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4）上述软件应在任何时候均被认为乙方和/或有关第三方拥有著作权。乙方同意，针对甲方或甲方按本合同规定合法使用上述软件过程中可能产生的任何第三方对上述软件权利的主张与纠纷，甲方或甲方有权根据本条规定向乙方进行追索。如果第三方软件供应商要求乙方就第三方拥有著作权的软件施加额外限制或责任，乙方应将该等责任或限制通知甲方，在经甲方书面认可后成为本合同/订货单的一部分。</w:t>
      </w:r>
    </w:p>
    <w:p w14:paraId="41096D63">
      <w:pPr>
        <w:numPr>
          <w:ilvl w:val="2"/>
          <w:numId w:val="15"/>
        </w:numPr>
        <w:autoSpaceDE w:val="0"/>
        <w:autoSpaceDN w:val="0"/>
        <w:spacing w:line="360" w:lineRule="auto"/>
        <w:ind w:left="0" w:firstLine="420" w:firstLineChars="200"/>
        <w:rPr>
          <w:rFonts w:ascii="宋体" w:hAnsi="宋体"/>
          <w:szCs w:val="21"/>
        </w:rPr>
      </w:pPr>
      <w:r>
        <w:rPr>
          <w:rFonts w:hint="eastAsia" w:ascii="宋体" w:hAnsi="宋体"/>
          <w:szCs w:val="21"/>
        </w:rPr>
        <w:t>侵权救济：乙方保证其提供的全部货物和服务不会侵犯第三方的合法权利。如果买方因按照合同的约定使用货物或服务而侵犯第三方的合法权利，并因此涉入诉讼、索赔或其他司法程序（以下称“侵权诉讼”），乙方同意按照本合同的规定进行处理和赔偿。</w:t>
      </w:r>
    </w:p>
    <w:p w14:paraId="21B65279">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1）乙方同意在收到甲方或甲方书面通知的情况下，指派代表为甲方或甲方的权益并以甲方或甲方的名义参与上述第三方提起的侵权诉讼，乙方应在上述侵权诉讼进行过程中就诉讼策略及其他事宜向甲方或甲方提供必要的支持与协助，并承担所产生的一切诉讼费用、律师费用、差旅费用、和解金额或生效法律文书中规定的损害赔偿金额、设备和/或软件使用费等费用以及由此给甲方造成的全部损失。</w:t>
      </w:r>
    </w:p>
    <w:p w14:paraId="6A86A7D3">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（2）如果在上述侵权诉讼中有效法律文书认定甲方或甲方构成侵权，禁止甲方或甲方继续使用乙方提供的货物或服务，或要求向第三方权利人支付使用费用的，乙方应采取以下措施：</w:t>
      </w:r>
    </w:p>
    <w:p w14:paraId="4AE12883">
      <w:pPr>
        <w:tabs>
          <w:tab w:val="left" w:pos="820"/>
        </w:tabs>
        <w:spacing w:line="360" w:lineRule="auto"/>
        <w:ind w:firstLine="420" w:firstLineChars="200"/>
        <w:rPr>
          <w:rFonts w:ascii="宋体" w:hAnsi="宋体"/>
          <w:szCs w:val="21"/>
        </w:rPr>
      </w:pPr>
      <w:r>
        <w:rPr>
          <w:rFonts w:hint="eastAsia" w:ascii="宋体" w:hAnsi="宋体"/>
          <w:szCs w:val="21"/>
        </w:rPr>
        <w:t>A. 免费使甲方重新获得原货物或服务的合法使用权利。</w:t>
      </w:r>
    </w:p>
    <w:p w14:paraId="3ADC01C8">
      <w:pPr>
        <w:tabs>
          <w:tab w:val="left" w:pos="820"/>
        </w:tabs>
        <w:spacing w:line="360" w:lineRule="auto"/>
        <w:ind w:firstLine="420" w:firstLineChars="200"/>
        <w:rPr>
          <w:rFonts w:ascii="宋体" w:hAnsi="宋体"/>
          <w:szCs w:val="21"/>
        </w:rPr>
      </w:pPr>
      <w:r>
        <w:rPr>
          <w:rFonts w:hint="eastAsia" w:ascii="宋体" w:hAnsi="宋体"/>
          <w:szCs w:val="21"/>
        </w:rPr>
        <w:t>B. 在甲方要求的合理期限内对原货物或服务进行修改、更换或调整以使甲方不受上述法律文书限制，并可继续使用相关的货物和服务，且不低于原有货物或服务的标准。采取以上措施所发生的一切费用均由乙方承担。</w:t>
      </w:r>
    </w:p>
    <w:p w14:paraId="253D277B">
      <w:pPr>
        <w:tabs>
          <w:tab w:val="left" w:pos="820"/>
        </w:tabs>
        <w:spacing w:line="360" w:lineRule="auto"/>
        <w:ind w:firstLine="420" w:firstLineChars="200"/>
        <w:rPr>
          <w:rFonts w:ascii="宋体" w:hAnsi="宋体"/>
          <w:szCs w:val="21"/>
        </w:rPr>
      </w:pPr>
      <w:r>
        <w:rPr>
          <w:rFonts w:hint="eastAsia" w:ascii="宋体" w:hAnsi="宋体"/>
          <w:szCs w:val="21"/>
        </w:rPr>
        <w:t>C. 若乙方的货物或服务有其他同型同质的替代物可供使用，则经甲方同意，乙方亦可收回有关货物或服务以及技术文件，并将相应合同价款返还给甲方。但对甲方购买上述替代物而支出的高于原本合同/订货单价款的部分，乙方应予以承担。</w:t>
      </w:r>
    </w:p>
    <w:p w14:paraId="36205AA6">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3）如果甲方或甲方因司法机关对上述侵权诉讼做出的生效法律文书，或因为避免损失扩大且经乙方同意而与第三方达成生效和解协议，甲方认为不可能继续使用原货物或服务的，则甲方有权单方解除合同。乙方应承担相应的违约责任。</w:t>
      </w:r>
    </w:p>
    <w:p w14:paraId="1242584A">
      <w:pPr>
        <w:widowControl/>
        <w:tabs>
          <w:tab w:val="left" w:pos="851"/>
        </w:tabs>
        <w:autoSpaceDE w:val="0"/>
        <w:autoSpaceDN w:val="0"/>
        <w:spacing w:line="360" w:lineRule="auto"/>
        <w:ind w:firstLine="420" w:firstLineChars="200"/>
        <w:textAlignment w:val="bottom"/>
        <w:rPr>
          <w:rFonts w:ascii="宋体" w:hAnsi="宋体"/>
          <w:szCs w:val="21"/>
        </w:rPr>
      </w:pPr>
      <w:r>
        <w:rPr>
          <w:rFonts w:hint="eastAsia" w:ascii="宋体" w:hAnsi="宋体"/>
          <w:szCs w:val="21"/>
        </w:rPr>
        <w:t>（4）甲方根据本条所获得的软件使用许可，同样适用于受让货物或服务的甲方关联单位、甲方、任何后继所有人而无须支付其他任何费用。</w:t>
      </w:r>
    </w:p>
    <w:p w14:paraId="1641DB63">
      <w:pPr>
        <w:spacing w:line="360" w:lineRule="auto"/>
        <w:ind w:firstLine="420" w:firstLineChars="200"/>
        <w:rPr>
          <w:rFonts w:ascii="宋体" w:hAnsi="宋体"/>
          <w:szCs w:val="21"/>
        </w:rPr>
      </w:pPr>
      <w:r>
        <w:rPr>
          <w:rFonts w:hint="eastAsia" w:ascii="宋体" w:hAnsi="宋体"/>
          <w:szCs w:val="21"/>
        </w:rPr>
        <w:t>（5）甲方因使用乙方货物而导致侵犯第三人合法权利，需要承担赔偿责任的，该赔偿责任全部由乙方承担。</w:t>
      </w:r>
    </w:p>
    <w:p w14:paraId="778A29E5">
      <w:pPr>
        <w:keepNext/>
        <w:widowControl/>
        <w:numPr>
          <w:ilvl w:val="0"/>
          <w:numId w:val="15"/>
        </w:numPr>
        <w:spacing w:line="360" w:lineRule="auto"/>
        <w:ind w:left="0" w:firstLine="422" w:firstLineChars="200"/>
        <w:jc w:val="left"/>
        <w:rPr>
          <w:rFonts w:ascii="宋体" w:hAnsi="宋体"/>
          <w:kern w:val="44"/>
          <w:szCs w:val="21"/>
        </w:rPr>
      </w:pPr>
      <w:bookmarkStart w:id="47" w:name="_Toc518311998"/>
      <w:r>
        <w:rPr>
          <w:rFonts w:hint="eastAsia" w:ascii="宋体" w:hAnsi="宋体"/>
          <w:b/>
          <w:bCs/>
          <w:kern w:val="44"/>
          <w:szCs w:val="21"/>
        </w:rPr>
        <w:t>保密责任</w:t>
      </w:r>
      <w:bookmarkEnd w:id="47"/>
    </w:p>
    <w:p w14:paraId="0A763A98">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 xml:space="preserve">拥有信息的一方（“提供方”）根据本合同向另一方（“接受方”）提供的信息，包括但不限于技术性信息、商业性信息、文件、程序、计划、技术、图表、模型、参数、数据、标准、专有技术、业务或业务运作方法以及其他专有信息，合同的条款和与合同有关的其他商业信息和技术信息(以下统称“保密信息”)，只能由接受方及其人员为本合同/订货单目的而使用。除本合同、本合同/订货单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及其关联公司。 </w:t>
      </w:r>
    </w:p>
    <w:p w14:paraId="74B28B31">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提供方向接受方提供或披露的保密信息，仅可由接受方为执行合同需要披露给指定的雇员，并且仅在为执行合同所需的范围内进行该等披露；但是，接受方在采取一切合理的预防措施之前，不得向其雇员披露任何保密信息，该等预防措施包括但不限于告知该等雇员将要披露信息的保密性质，由该等雇员做出至少与合同保密义务一样严格的保密承诺等，以防止该等雇员为个人利益使用保密信息或向任何第三方做出未经授权的任何披露。</w:t>
      </w:r>
    </w:p>
    <w:p w14:paraId="0092DCED">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接受方的律师、会计师、承包商和顾问为提供专业协助而需要了解保密信息时，接受方可向其披露保密信息，但是，其应要求上述人员签订保密协议或按照有关职业道德标准履行保密义务。</w:t>
      </w:r>
    </w:p>
    <w:p w14:paraId="1D3228F8">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14:paraId="285A86C4">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 xml:space="preserve">在任何情形下，本条所规定的保密义务应永久持续有效。 </w:t>
      </w:r>
    </w:p>
    <w:p w14:paraId="33F0D5EC">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 xml:space="preserve">本条规定的保密义务对以下信息不适用： </w:t>
      </w:r>
    </w:p>
    <w:p w14:paraId="394B9038">
      <w:pPr>
        <w:widowControl/>
        <w:numPr>
          <w:ilvl w:val="0"/>
          <w:numId w:val="23"/>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在一方披露时，已经是公众所知的信息，或者在披露后，并非由于接受方或其雇员、律师、会计师、承包商、顾问或者其他人员的过失而成为公众所知的信息；</w:t>
      </w:r>
    </w:p>
    <w:p w14:paraId="22E88F7F">
      <w:pPr>
        <w:widowControl/>
        <w:numPr>
          <w:ilvl w:val="0"/>
          <w:numId w:val="23"/>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有书面证据证明在披露时已经由接受方掌握的信息，而且信息并非直接或间接来自提供方；或有书面证据证明第三方已向接受方披露的信息，而该第三方并不负有保密义务，并且有权做出披露。</w:t>
      </w:r>
    </w:p>
    <w:p w14:paraId="4ED5C085">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当合同解除或终止时，接受方应立即停止使用且不得许可第三方使用提供方的保密信息，同时，接受方应按照提供方的书面要求，将提供方提供的保密信息退还提供方或予以删除或销毁。</w:t>
      </w:r>
    </w:p>
    <w:p w14:paraId="79478FCC">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因违反保密条款而对另一方造成损失的，未如约履行保密义务的一方因承担相应的赔偿责任。</w:t>
      </w:r>
    </w:p>
    <w:p w14:paraId="49646B03">
      <w:pPr>
        <w:keepNext/>
        <w:widowControl/>
        <w:numPr>
          <w:ilvl w:val="0"/>
          <w:numId w:val="15"/>
        </w:numPr>
        <w:spacing w:line="360" w:lineRule="auto"/>
        <w:ind w:left="0" w:firstLine="422" w:firstLineChars="200"/>
        <w:jc w:val="left"/>
        <w:rPr>
          <w:rFonts w:ascii="宋体" w:hAnsi="宋体"/>
          <w:kern w:val="44"/>
          <w:szCs w:val="21"/>
        </w:rPr>
      </w:pPr>
      <w:bookmarkStart w:id="48" w:name="_Toc518311999"/>
      <w:r>
        <w:rPr>
          <w:rFonts w:hint="eastAsia" w:ascii="宋体" w:hAnsi="宋体"/>
          <w:b/>
          <w:bCs/>
          <w:kern w:val="44"/>
          <w:szCs w:val="21"/>
        </w:rPr>
        <w:t>违约责任与合同解除</w:t>
      </w:r>
      <w:bookmarkEnd w:id="48"/>
    </w:p>
    <w:p w14:paraId="2C6A2D21">
      <w:pPr>
        <w:widowControl/>
        <w:tabs>
          <w:tab w:val="left" w:pos="709"/>
        </w:tabs>
        <w:autoSpaceDE w:val="0"/>
        <w:autoSpaceDN w:val="0"/>
        <w:spacing w:line="360" w:lineRule="auto"/>
        <w:ind w:firstLine="420" w:firstLineChars="200"/>
        <w:textAlignment w:val="bottom"/>
        <w:rPr>
          <w:rFonts w:ascii="宋体" w:hAnsi="宋体"/>
          <w:szCs w:val="21"/>
        </w:rPr>
      </w:pPr>
      <w:r>
        <w:rPr>
          <w:rFonts w:hint="eastAsia" w:ascii="宋体" w:hAnsi="宋体"/>
          <w:szCs w:val="21"/>
        </w:rPr>
        <w:t>除本合同其他条款已约定的双方违约责任以外，双方同意按下列约定承担各自的违约责任：</w:t>
      </w:r>
    </w:p>
    <w:p w14:paraId="00521911">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ascii="宋体" w:hAnsi="宋体"/>
          <w:szCs w:val="21"/>
        </w:rPr>
        <w:t>乙方违反本合同/订货单规定逾期交货（含安装调试）或逾期提供服务的，每逾期一日，须按逾期部分货物价值的【0.5%】支付违约金给</w:t>
      </w:r>
      <w:r>
        <w:rPr>
          <w:rFonts w:hint="eastAsia" w:ascii="宋体" w:hAnsi="宋体"/>
          <w:szCs w:val="21"/>
        </w:rPr>
        <w:t>甲方。</w:t>
      </w:r>
    </w:p>
    <w:p w14:paraId="68985EFD">
      <w:pPr>
        <w:widowControl/>
        <w:tabs>
          <w:tab w:val="left" w:pos="709"/>
        </w:tabs>
        <w:autoSpaceDE w:val="0"/>
        <w:autoSpaceDN w:val="0"/>
        <w:spacing w:line="360" w:lineRule="auto"/>
        <w:ind w:firstLine="420" w:firstLineChars="200"/>
        <w:textAlignment w:val="bottom"/>
        <w:rPr>
          <w:rFonts w:ascii="宋体" w:hAnsi="宋体"/>
          <w:szCs w:val="21"/>
        </w:rPr>
      </w:pPr>
      <w:r>
        <w:rPr>
          <w:rFonts w:hint="eastAsia" w:ascii="宋体" w:hAnsi="宋体"/>
          <w:szCs w:val="21"/>
        </w:rPr>
        <w:t>逾期交货超过【30】日的，视为乙方不能交货，甲方有权单方解除订货单。乙方须按不能交货的批次订货单总金额的【</w:t>
      </w:r>
      <w:r>
        <w:rPr>
          <w:rFonts w:ascii="宋体" w:hAnsi="宋体"/>
          <w:szCs w:val="21"/>
        </w:rPr>
        <w:t>20%】支付违约金给甲方</w:t>
      </w:r>
      <w:r>
        <w:rPr>
          <w:rFonts w:hint="eastAsia" w:ascii="宋体" w:hAnsi="宋体"/>
          <w:szCs w:val="21"/>
        </w:rPr>
        <w:t>，并赔偿因此给甲方造成的其它损失。</w:t>
      </w:r>
    </w:p>
    <w:p w14:paraId="38810A7F">
      <w:pPr>
        <w:widowControl/>
        <w:spacing w:line="360" w:lineRule="auto"/>
        <w:ind w:firstLine="420" w:firstLineChars="200"/>
        <w:textAlignment w:val="bottom"/>
        <w:rPr>
          <w:rFonts w:ascii="宋体" w:hAnsi="宋体"/>
          <w:szCs w:val="21"/>
        </w:rPr>
      </w:pPr>
      <w:r>
        <w:rPr>
          <w:rFonts w:hint="eastAsia" w:ascii="宋体" w:hAnsi="宋体"/>
          <w:szCs w:val="21"/>
        </w:rPr>
        <w:t>逾期交货累计超过三次，甲方有权单方解除合同，扣除全部履约保证金，追究乙方违约责任。</w:t>
      </w:r>
    </w:p>
    <w:p w14:paraId="497C724B">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乙方在甲方采购订货单进入乙方接收系统之日起超过</w:t>
      </w:r>
      <w:r>
        <w:rPr>
          <w:rFonts w:ascii="宋体" w:hAnsi="宋体"/>
          <w:szCs w:val="21"/>
        </w:rPr>
        <w:t>3日不对订货单进行确认，则甲方</w:t>
      </w:r>
      <w:r>
        <w:rPr>
          <w:rFonts w:hint="eastAsia" w:ascii="宋体" w:hAnsi="宋体"/>
          <w:szCs w:val="21"/>
        </w:rPr>
        <w:t>有权要求乙方支付订货单金额的【</w:t>
      </w:r>
      <w:r>
        <w:rPr>
          <w:rFonts w:ascii="宋体" w:hAnsi="宋体"/>
          <w:szCs w:val="21"/>
        </w:rPr>
        <w:t>2%】的违约金。</w:t>
      </w:r>
    </w:p>
    <w:p w14:paraId="46397E03">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如乙方所供货物存在质量问题，且无法按甲方要求有效解决的，甲方有权要求退货处理，乙方应向甲方全额退还已收的货款并向甲方支付对应批次订货单金额</w:t>
      </w:r>
      <w:r>
        <w:rPr>
          <w:rFonts w:ascii="宋体" w:hAnsi="宋体"/>
          <w:szCs w:val="21"/>
        </w:rPr>
        <w:t>20%</w:t>
      </w:r>
      <w:r>
        <w:rPr>
          <w:rFonts w:hint="eastAsia" w:ascii="宋体" w:hAnsi="宋体"/>
          <w:szCs w:val="21"/>
        </w:rPr>
        <w:t>违约金。情节严重的，甲方有权单方解除合同。</w:t>
      </w:r>
    </w:p>
    <w:p w14:paraId="26A41FF8">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ascii="宋体" w:hAnsi="宋体"/>
          <w:szCs w:val="21"/>
        </w:rPr>
        <w:t>本合同货物的使用寿命</w:t>
      </w:r>
      <w:r>
        <w:rPr>
          <w:rFonts w:hint="eastAsia" w:ascii="宋体" w:hAnsi="宋体"/>
          <w:szCs w:val="21"/>
        </w:rPr>
        <w:t>为</w:t>
      </w:r>
      <w:r>
        <w:rPr>
          <w:rFonts w:ascii="宋体" w:hAnsi="宋体"/>
          <w:szCs w:val="21"/>
        </w:rPr>
        <w:t>【</w:t>
      </w:r>
      <w:r>
        <w:rPr>
          <w:rFonts w:hint="eastAsia" w:ascii="宋体" w:hAnsi="宋体"/>
          <w:szCs w:val="21"/>
        </w:rPr>
        <w:t>8】年，使用寿命期间，因乙方货物存在缺陷造成受害人人身伤害的，乙方应当赔偿受害人医疗费、因误工减少的收入、残疾生活补助费等费用；造成受害人死亡的，并应当支付丧葬费、抚恤费、被抚养人生活费等费用。因乙方货物存在缺陷造成受害人财产损失的，乙方应当恢复原状或者折价赔偿。受害人因此遭受其他重大损失的，乙方应当赔偿损失。同时，乙方应无条件配合甲方妥善处理事故，并赔偿甲方或甲方处理人身伤害或死亡、财产损失事故所支出的全部费用。</w:t>
      </w:r>
    </w:p>
    <w:p w14:paraId="016B2FA2">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ascii="宋体" w:hAnsi="宋体"/>
          <w:szCs w:val="21"/>
        </w:rPr>
        <w:t>乙方所提供的货物发生质量事故被媒体报道造成甲方</w:t>
      </w:r>
      <w:r>
        <w:rPr>
          <w:rFonts w:hint="eastAsia" w:ascii="宋体" w:hAnsi="宋体"/>
          <w:szCs w:val="21"/>
        </w:rPr>
        <w:t>或甲方</w:t>
      </w:r>
      <w:r>
        <w:rPr>
          <w:rFonts w:ascii="宋体" w:hAnsi="宋体"/>
          <w:szCs w:val="21"/>
        </w:rPr>
        <w:t>商誉损失的，或因乙方货物质量导致甲方</w:t>
      </w:r>
      <w:r>
        <w:rPr>
          <w:rFonts w:hint="eastAsia" w:ascii="宋体" w:hAnsi="宋体"/>
          <w:szCs w:val="21"/>
        </w:rPr>
        <w:t>或甲方</w:t>
      </w:r>
      <w:r>
        <w:rPr>
          <w:rFonts w:ascii="宋体" w:hAnsi="宋体"/>
          <w:szCs w:val="21"/>
        </w:rPr>
        <w:t>被相关部门处罚的，甲方有权</w:t>
      </w:r>
      <w:r>
        <w:rPr>
          <w:rFonts w:hint="eastAsia" w:ascii="宋体" w:hAnsi="宋体"/>
          <w:szCs w:val="21"/>
        </w:rPr>
        <w:t>不予退还乙方的全部履约保证金。造成甲方或甲方的损失由乙方赔偿。</w:t>
      </w:r>
    </w:p>
    <w:p w14:paraId="080F18B8">
      <w:pPr>
        <w:widowControl/>
        <w:numPr>
          <w:ilvl w:val="2"/>
          <w:numId w:val="15"/>
        </w:numPr>
        <w:autoSpaceDE w:val="0"/>
        <w:autoSpaceDN w:val="0"/>
        <w:spacing w:line="360" w:lineRule="auto"/>
        <w:ind w:left="0" w:firstLine="420" w:firstLineChars="200"/>
        <w:textAlignment w:val="bottom"/>
        <w:rPr>
          <w:rFonts w:ascii="宋体" w:hAnsi="宋体"/>
          <w:szCs w:val="21"/>
        </w:rPr>
      </w:pPr>
      <w:bookmarkStart w:id="49" w:name="_Hlk520058724"/>
      <w:r>
        <w:rPr>
          <w:rFonts w:hint="eastAsia" w:ascii="宋体" w:hAnsi="宋体"/>
          <w:szCs w:val="21"/>
        </w:rPr>
        <w:t>如果乙方在本合同的竞争或履行过程中有腐败和欺诈行为，甲方有权单方解除本合同，并要求乙方支付已供货总金额</w:t>
      </w:r>
      <w:r>
        <w:rPr>
          <w:rFonts w:ascii="宋体" w:hAnsi="宋体"/>
          <w:szCs w:val="21"/>
        </w:rPr>
        <w:t>10%</w:t>
      </w:r>
      <w:r>
        <w:rPr>
          <w:rFonts w:hint="eastAsia" w:ascii="宋体" w:hAnsi="宋体"/>
          <w:szCs w:val="21"/>
        </w:rPr>
        <w:t>的违约金。“腐败行为”是指提供、给予、接受或索取任何有价值的东西来影响采购人员在采购过程或合同实施过程中的行为；“欺诈行为”是指为了影响采购过程或合同实施过程而谎报事实，弄虚作假，损害甲方的利益，包括乙方与其他供货单位之间串通，人为地使供货活动丧失竞争性，损害甲方所能获得的权益。</w:t>
      </w:r>
    </w:p>
    <w:bookmarkEnd w:id="49"/>
    <w:p w14:paraId="46340D88">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ascii="宋体" w:hAnsi="宋体"/>
          <w:szCs w:val="21"/>
        </w:rPr>
        <w:t>乙方无正当理由单方解除合同</w:t>
      </w:r>
      <w:r>
        <w:rPr>
          <w:rFonts w:hint="eastAsia" w:ascii="宋体" w:hAnsi="宋体"/>
          <w:szCs w:val="21"/>
        </w:rPr>
        <w:t>，</w:t>
      </w:r>
      <w:r>
        <w:rPr>
          <w:rFonts w:ascii="宋体" w:hAnsi="宋体"/>
          <w:szCs w:val="21"/>
        </w:rPr>
        <w:t>或乙方未履行合同约定义务存在严重违约行为经甲方书面要求更正后在限定期限内无实质性更正</w:t>
      </w:r>
      <w:r>
        <w:rPr>
          <w:rFonts w:hint="eastAsia" w:ascii="宋体" w:hAnsi="宋体"/>
          <w:szCs w:val="21"/>
        </w:rPr>
        <w:t>，</w:t>
      </w:r>
      <w:r>
        <w:rPr>
          <w:rFonts w:ascii="宋体" w:hAnsi="宋体"/>
          <w:szCs w:val="21"/>
        </w:rPr>
        <w:t>甲方有权解除合同</w:t>
      </w:r>
      <w:r>
        <w:rPr>
          <w:rFonts w:hint="eastAsia" w:ascii="宋体" w:hAnsi="宋体"/>
          <w:szCs w:val="21"/>
        </w:rPr>
        <w:t>，</w:t>
      </w:r>
      <w:r>
        <w:rPr>
          <w:rFonts w:ascii="宋体" w:hAnsi="宋体"/>
          <w:szCs w:val="21"/>
        </w:rPr>
        <w:t>扣收全部履约保证金</w:t>
      </w:r>
      <w:r>
        <w:rPr>
          <w:rFonts w:hint="eastAsia" w:ascii="宋体" w:hAnsi="宋体"/>
          <w:szCs w:val="21"/>
        </w:rPr>
        <w:t>，</w:t>
      </w:r>
      <w:r>
        <w:rPr>
          <w:rFonts w:ascii="宋体" w:hAnsi="宋体"/>
          <w:szCs w:val="21"/>
        </w:rPr>
        <w:t>乙方应另向甲方支付全部订货单总金额</w:t>
      </w:r>
      <w:r>
        <w:rPr>
          <w:rFonts w:hint="eastAsia" w:ascii="宋体" w:hAnsi="宋体"/>
          <w:szCs w:val="21"/>
        </w:rPr>
        <w:t>【10%】的违约金。</w:t>
      </w:r>
      <w:r>
        <w:rPr>
          <w:rFonts w:ascii="宋体" w:hAnsi="宋体"/>
          <w:szCs w:val="21"/>
        </w:rPr>
        <w:t>若乙方因厂家设备停产等特殊原因无法继续提供合同第一条指定的货物，应</w:t>
      </w:r>
      <w:r>
        <w:rPr>
          <w:rFonts w:hint="eastAsia" w:ascii="宋体" w:hAnsi="宋体"/>
          <w:szCs w:val="21"/>
        </w:rPr>
        <w:t>按本合同约定</w:t>
      </w:r>
      <w:r>
        <w:rPr>
          <w:rFonts w:ascii="宋体" w:hAnsi="宋体"/>
          <w:szCs w:val="21"/>
        </w:rPr>
        <w:t>及时书面知会甲方，并以同等价格或更低价格，提供性能上完全适用且不低于本合同约定质量的替代品，经甲方同意后，双方合同可继续履行；若甲方不同意，则甲方有权单方解除本合同，</w:t>
      </w:r>
      <w:r>
        <w:rPr>
          <w:rFonts w:hint="eastAsia" w:ascii="宋体" w:hAnsi="宋体"/>
          <w:szCs w:val="21"/>
        </w:rPr>
        <w:t>扣除全部履约保证金，并由乙方赔偿因此给甲方造成的其它损失。</w:t>
      </w:r>
    </w:p>
    <w:p w14:paraId="55F7F2B5">
      <w:pPr>
        <w:widowControl/>
        <w:numPr>
          <w:ilvl w:val="2"/>
          <w:numId w:val="15"/>
        </w:numPr>
        <w:autoSpaceDE w:val="0"/>
        <w:autoSpaceDN w:val="0"/>
        <w:spacing w:line="360" w:lineRule="auto"/>
        <w:ind w:left="0" w:firstLine="420" w:firstLineChars="200"/>
        <w:textAlignment w:val="bottom"/>
        <w:rPr>
          <w:rFonts w:ascii="宋体" w:hAnsi="宋体"/>
          <w:szCs w:val="21"/>
        </w:rPr>
      </w:pPr>
      <w:bookmarkStart w:id="50" w:name="_Hlk519870361"/>
      <w:r>
        <w:rPr>
          <w:rFonts w:ascii="宋体" w:hAnsi="宋体"/>
          <w:szCs w:val="21"/>
        </w:rPr>
        <w:t>上述条款约定的违约金</w:t>
      </w:r>
      <w:r>
        <w:rPr>
          <w:rFonts w:hint="eastAsia" w:ascii="宋体" w:hAnsi="宋体"/>
          <w:szCs w:val="21"/>
        </w:rPr>
        <w:t>、赔偿金甲方或甲方</w:t>
      </w:r>
      <w:bookmarkStart w:id="51" w:name="_Hlk520059152"/>
      <w:r>
        <w:rPr>
          <w:rFonts w:hint="eastAsia" w:ascii="宋体" w:hAnsi="宋体"/>
          <w:szCs w:val="21"/>
        </w:rPr>
        <w:t>有权从任一批次订货单货款、质保金、履约保证金中扣除，违约金</w:t>
      </w:r>
      <w:r>
        <w:rPr>
          <w:rFonts w:ascii="宋体" w:hAnsi="宋体"/>
          <w:szCs w:val="21"/>
        </w:rPr>
        <w:t>不足以弥补损失的，乙方应当另</w:t>
      </w:r>
      <w:r>
        <w:rPr>
          <w:rFonts w:hint="eastAsia" w:ascii="宋体" w:hAnsi="宋体"/>
          <w:szCs w:val="21"/>
        </w:rPr>
        <w:t>行</w:t>
      </w:r>
      <w:r>
        <w:rPr>
          <w:rFonts w:ascii="宋体" w:hAnsi="宋体"/>
          <w:szCs w:val="21"/>
        </w:rPr>
        <w:t>支付赔偿金。</w:t>
      </w:r>
      <w:bookmarkEnd w:id="51"/>
      <w:r>
        <w:rPr>
          <w:rFonts w:hint="eastAsia" w:ascii="宋体" w:hAnsi="宋体"/>
          <w:szCs w:val="21"/>
        </w:rPr>
        <w:t>甲方因行使追索权而支付的合理费用包括但不限于律师费、公证费、鉴定费、差旅费及其他为实现权利而发生的费用由乙方承担。</w:t>
      </w:r>
    </w:p>
    <w:bookmarkEnd w:id="50"/>
    <w:p w14:paraId="2426F940">
      <w:pPr>
        <w:widowControl/>
        <w:numPr>
          <w:ilvl w:val="2"/>
          <w:numId w:val="15"/>
        </w:numPr>
        <w:autoSpaceDE w:val="0"/>
        <w:autoSpaceDN w:val="0"/>
        <w:spacing w:line="360" w:lineRule="auto"/>
        <w:ind w:left="0" w:firstLine="420" w:firstLineChars="200"/>
        <w:textAlignment w:val="bottom"/>
        <w:rPr>
          <w:rFonts w:ascii="宋体" w:hAnsi="宋体"/>
          <w:szCs w:val="21"/>
        </w:rPr>
      </w:pPr>
      <w:bookmarkStart w:id="52" w:name="_Hlk519870520"/>
      <w:r>
        <w:rPr>
          <w:rFonts w:hint="eastAsia" w:ascii="宋体" w:hAnsi="宋体"/>
          <w:szCs w:val="21"/>
        </w:rPr>
        <w:t>在乙方履行合同规定的各项义务的前提下，甲方无正当理由逾期支付价款的，每逾期一日，则甲方应按应付未付金额的</w:t>
      </w:r>
      <w:r>
        <w:rPr>
          <w:rFonts w:ascii="宋体" w:hAnsi="宋体"/>
          <w:szCs w:val="21"/>
        </w:rPr>
        <w:t>0.1%</w:t>
      </w:r>
      <w:r>
        <w:rPr>
          <w:rFonts w:hint="eastAsia" w:ascii="宋体" w:hAnsi="宋体"/>
          <w:szCs w:val="21"/>
        </w:rPr>
        <w:t>向乙方支付违约金。</w:t>
      </w:r>
    </w:p>
    <w:p w14:paraId="0634CA85">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合同任何一方违反本合同规定的保密义务的，根据违约情况的严重程度和对受影响方造成的损失情况，违约方应向守约方支付本合同已供货金额10%的违约金，同时守约方有权单方解除本合同。</w:t>
      </w:r>
      <w:bookmarkEnd w:id="52"/>
    </w:p>
    <w:p w14:paraId="324A019F">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合同解除不影响保密义务、违约金支付义务以及赔偿责任的承担，违约金不足以弥补非违约方全部损失的，违约方应另行赔偿。</w:t>
      </w:r>
    </w:p>
    <w:p w14:paraId="5C2CF82B">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如果根据本合同的规定，一方有赔偿和/或支付违约金的责任，另一方应通知其赔偿和/或违约金数额及相应原因。如接受通知的一方对赔偿和/或逾期违约金数额有异议，应在接到对方通知之日起</w:t>
      </w:r>
      <w:r>
        <w:rPr>
          <w:rFonts w:ascii="宋体" w:hAnsi="宋体"/>
          <w:szCs w:val="21"/>
        </w:rPr>
        <w:t>10</w:t>
      </w:r>
      <w:r>
        <w:rPr>
          <w:rFonts w:hint="eastAsia" w:ascii="宋体" w:hAnsi="宋体"/>
          <w:szCs w:val="21"/>
        </w:rPr>
        <w:t>个工作日内提出，否则视为接受对方提出的赔偿和/或违约金数额。</w:t>
      </w:r>
    </w:p>
    <w:p w14:paraId="4439676E">
      <w:pPr>
        <w:keepNext/>
        <w:widowControl/>
        <w:numPr>
          <w:ilvl w:val="0"/>
          <w:numId w:val="15"/>
        </w:numPr>
        <w:spacing w:line="360" w:lineRule="auto"/>
        <w:ind w:left="0" w:firstLine="422" w:firstLineChars="200"/>
        <w:jc w:val="left"/>
        <w:rPr>
          <w:rFonts w:ascii="宋体" w:hAnsi="宋体"/>
          <w:kern w:val="44"/>
          <w:szCs w:val="21"/>
        </w:rPr>
      </w:pPr>
      <w:bookmarkStart w:id="53" w:name="_Toc518312000"/>
      <w:r>
        <w:rPr>
          <w:rFonts w:hint="eastAsia" w:ascii="宋体" w:hAnsi="宋体"/>
          <w:b/>
          <w:bCs/>
          <w:kern w:val="44"/>
          <w:szCs w:val="21"/>
        </w:rPr>
        <w:t>不可抗力</w:t>
      </w:r>
      <w:bookmarkEnd w:id="53"/>
    </w:p>
    <w:p w14:paraId="6941D0AF">
      <w:pPr>
        <w:widowControl/>
        <w:numPr>
          <w:ilvl w:val="2"/>
          <w:numId w:val="24"/>
        </w:numPr>
        <w:autoSpaceDE w:val="0"/>
        <w:autoSpaceDN w:val="0"/>
        <w:spacing w:line="360" w:lineRule="auto"/>
        <w:ind w:firstLine="420" w:firstLineChars="200"/>
        <w:textAlignment w:val="bottom"/>
        <w:rPr>
          <w:rFonts w:ascii="宋体" w:hAnsi="宋体"/>
          <w:szCs w:val="21"/>
        </w:rPr>
      </w:pPr>
      <w:bookmarkStart w:id="54" w:name="_Hlk520059410"/>
      <w:bookmarkStart w:id="55" w:name="_Hlk519870641"/>
      <w:r>
        <w:rPr>
          <w:rFonts w:hint="eastAsia" w:ascii="宋体" w:hAnsi="宋体"/>
          <w:szCs w:val="21"/>
        </w:rPr>
        <w:t>本合同所指不可抗力，是指不能预见、不能避免并不能克服的客观情况。包括但不限于自然灾害如洪水、火灾、地震等。</w:t>
      </w:r>
    </w:p>
    <w:p w14:paraId="1CEFAEBB">
      <w:pPr>
        <w:widowControl/>
        <w:numPr>
          <w:ilvl w:val="2"/>
          <w:numId w:val="24"/>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由于不可抗力事件，致使一方在履行其在本合同项下的义务过程中遇到障碍或延误，或甲方由于社会事件如政府行为、国家政策的突然变动不能按约定的条款全部或部分履行其义务的视为不可抗力，遇到不可抗力事件的一方（“受阻方”），只要满足下列所有条件，不应视为违反合同：</w:t>
      </w:r>
    </w:p>
    <w:p w14:paraId="320EF7A7">
      <w:pPr>
        <w:widowControl/>
        <w:numPr>
          <w:ilvl w:val="1"/>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受阻方不能全部或部分履行其义务，是由于不可抗力事件直接造成的，且在不可抗力发生前受阻方不存在迟延履行相关义务的情形；</w:t>
      </w:r>
    </w:p>
    <w:p w14:paraId="033F9298">
      <w:pPr>
        <w:widowControl/>
        <w:numPr>
          <w:ilvl w:val="1"/>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受阻方已尽最大努力履行其义务并减少由于不可抗力事件给另一方造成的损失；</w:t>
      </w:r>
    </w:p>
    <w:p w14:paraId="38E78B4A">
      <w:pPr>
        <w:widowControl/>
        <w:numPr>
          <w:ilvl w:val="1"/>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不可抗力事件发生时，受阻方立即通知了对方，并在不可抗力事件发生之日起的十五日内提供有关该事件的政府证明文书和书面说明，书面说明中应包括对延迟履行或部分履行合同的原因说明。</w:t>
      </w:r>
    </w:p>
    <w:p w14:paraId="25D766F6">
      <w:pPr>
        <w:widowControl/>
        <w:numPr>
          <w:ilvl w:val="2"/>
          <w:numId w:val="24"/>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不可抗力事件终止或被排除后，受阻方应继续履行本合同，并应尽快通知另一方。受阻方可延长履行义务的时间，延长期应相当于不可抗力事件实际造成延误的时间。</w:t>
      </w:r>
    </w:p>
    <w:p w14:paraId="5395A403">
      <w:pPr>
        <w:widowControl/>
        <w:numPr>
          <w:ilvl w:val="2"/>
          <w:numId w:val="24"/>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如果不可抗力事件的影响持续达【30】日或以上时，双方应根据该事件对本合同履行的影响程度协商对本合同的修改或终止。如在一方发出协商书面通知之日起【10】日内双方无法就此达成一致，任何一方均有权单方解除本合同而无需承担违约责任</w:t>
      </w:r>
      <w:bookmarkEnd w:id="54"/>
      <w:r>
        <w:rPr>
          <w:rFonts w:hint="eastAsia" w:ascii="宋体" w:hAnsi="宋体"/>
          <w:szCs w:val="21"/>
        </w:rPr>
        <w:t>。</w:t>
      </w:r>
      <w:bookmarkEnd w:id="55"/>
    </w:p>
    <w:p w14:paraId="2EC1ED38">
      <w:pPr>
        <w:keepNext/>
        <w:widowControl/>
        <w:numPr>
          <w:ilvl w:val="0"/>
          <w:numId w:val="15"/>
        </w:numPr>
        <w:spacing w:line="360" w:lineRule="auto"/>
        <w:ind w:left="0" w:firstLine="422" w:firstLineChars="200"/>
        <w:jc w:val="left"/>
        <w:rPr>
          <w:rFonts w:ascii="宋体" w:hAnsi="宋体"/>
          <w:kern w:val="44"/>
          <w:szCs w:val="21"/>
        </w:rPr>
      </w:pPr>
      <w:bookmarkStart w:id="56" w:name="_Toc518312001"/>
      <w:r>
        <w:rPr>
          <w:rFonts w:hint="eastAsia" w:ascii="宋体" w:hAnsi="宋体"/>
          <w:b/>
          <w:bCs/>
          <w:kern w:val="44"/>
          <w:szCs w:val="21"/>
        </w:rPr>
        <w:t>争议解决</w:t>
      </w:r>
      <w:bookmarkEnd w:id="56"/>
    </w:p>
    <w:p w14:paraId="60B646EC">
      <w:pPr>
        <w:widowControl/>
        <w:numPr>
          <w:ilvl w:val="2"/>
          <w:numId w:val="15"/>
        </w:numPr>
        <w:autoSpaceDE w:val="0"/>
        <w:autoSpaceDN w:val="0"/>
        <w:spacing w:line="360" w:lineRule="auto"/>
        <w:ind w:left="0" w:firstLine="420" w:firstLineChars="200"/>
        <w:textAlignment w:val="bottom"/>
        <w:rPr>
          <w:rFonts w:ascii="宋体" w:hAnsi="宋体"/>
          <w:szCs w:val="21"/>
        </w:rPr>
      </w:pPr>
      <w:bookmarkStart w:id="57" w:name="_Hlk520710740"/>
      <w:bookmarkStart w:id="58" w:name="_Hlk520710721"/>
      <w:r>
        <w:rPr>
          <w:rFonts w:hint="eastAsia" w:ascii="宋体" w:hAnsi="宋体"/>
          <w:szCs w:val="21"/>
        </w:rPr>
        <w:t>本合同及订货单履行过程中如发生争议， 双方应友好协商解决。协商不成的，任何一方有权向甲方住所地有管辖权的人民法院提起诉讼</w:t>
      </w:r>
      <w:bookmarkStart w:id="59" w:name="_Hlk520059954"/>
      <w:bookmarkStart w:id="60" w:name="_Hlk520059941"/>
      <w:r>
        <w:rPr>
          <w:rFonts w:hint="eastAsia" w:ascii="宋体" w:hAnsi="宋体"/>
          <w:szCs w:val="21"/>
        </w:rPr>
        <w:t>。</w:t>
      </w:r>
      <w:bookmarkEnd w:id="57"/>
      <w:bookmarkEnd w:id="59"/>
    </w:p>
    <w:bookmarkEnd w:id="60"/>
    <w:p w14:paraId="4BCBB3CF">
      <w:pPr>
        <w:widowControl/>
        <w:numPr>
          <w:ilvl w:val="2"/>
          <w:numId w:val="15"/>
        </w:numPr>
        <w:autoSpaceDE w:val="0"/>
        <w:autoSpaceDN w:val="0"/>
        <w:spacing w:line="360" w:lineRule="auto"/>
        <w:ind w:left="0" w:firstLine="420" w:firstLineChars="200"/>
        <w:textAlignment w:val="bottom"/>
        <w:rPr>
          <w:rFonts w:ascii="宋体" w:hAnsi="宋体"/>
          <w:szCs w:val="21"/>
        </w:rPr>
      </w:pPr>
      <w:r>
        <w:rPr>
          <w:rFonts w:hint="eastAsia" w:ascii="宋体" w:hAnsi="宋体"/>
          <w:szCs w:val="21"/>
        </w:rPr>
        <w:t>诉讼进行过程中，除双方有争议的部分外，合同其他部分仍然有效，各方应继续履行。</w:t>
      </w:r>
      <w:bookmarkEnd w:id="58"/>
    </w:p>
    <w:p w14:paraId="60BDF180">
      <w:pPr>
        <w:keepNext/>
        <w:widowControl/>
        <w:numPr>
          <w:ilvl w:val="0"/>
          <w:numId w:val="15"/>
        </w:numPr>
        <w:spacing w:line="360" w:lineRule="auto"/>
        <w:ind w:left="0" w:firstLine="422" w:firstLineChars="200"/>
        <w:jc w:val="left"/>
        <w:rPr>
          <w:rFonts w:ascii="宋体" w:hAnsi="宋体"/>
          <w:kern w:val="44"/>
          <w:szCs w:val="21"/>
        </w:rPr>
      </w:pPr>
      <w:bookmarkStart w:id="61" w:name="_Toc518312003"/>
      <w:r>
        <w:rPr>
          <w:rFonts w:hint="eastAsia" w:ascii="宋体" w:hAnsi="宋体"/>
          <w:b/>
          <w:bCs/>
          <w:kern w:val="44"/>
          <w:szCs w:val="21"/>
        </w:rPr>
        <w:t>其他</w:t>
      </w:r>
      <w:bookmarkEnd w:id="61"/>
    </w:p>
    <w:p w14:paraId="71E6AB84">
      <w:pPr>
        <w:widowControl/>
        <w:numPr>
          <w:ilvl w:val="0"/>
          <w:numId w:val="25"/>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合同修改和补充。合同未尽事宜，应由双方友好协商解决。如需对合同及其附件作任何修改或补充，须由双方以书面做出方为有效。修改或补充文件与合同有不一致的，以修改或补充文件为准。</w:t>
      </w:r>
    </w:p>
    <w:p w14:paraId="394ED5FF">
      <w:pPr>
        <w:widowControl/>
        <w:numPr>
          <w:ilvl w:val="0"/>
          <w:numId w:val="25"/>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合同可分割性。合同的任何条款或规定，如被有权机构判定为无效或不可执行，不应影响合同其他条款或规定的效力或可执行性，也不应影响该条款或规定在其他情形下的效力或可执行性。</w:t>
      </w:r>
    </w:p>
    <w:p w14:paraId="207478F9">
      <w:pPr>
        <w:widowControl/>
        <w:numPr>
          <w:ilvl w:val="0"/>
          <w:numId w:val="25"/>
        </w:numPr>
        <w:autoSpaceDE w:val="0"/>
        <w:autoSpaceDN w:val="0"/>
        <w:spacing w:line="360" w:lineRule="auto"/>
        <w:ind w:firstLine="420" w:firstLineChars="200"/>
        <w:textAlignment w:val="bottom"/>
        <w:rPr>
          <w:rFonts w:ascii="宋体" w:hAnsi="宋体"/>
          <w:szCs w:val="21"/>
        </w:rPr>
      </w:pPr>
      <w:bookmarkStart w:id="62" w:name="_Hlk519934141"/>
      <w:bookmarkStart w:id="63" w:name="_Hlk521074431"/>
      <w:bookmarkStart w:id="64" w:name="_Hlk519934084"/>
      <w:r>
        <w:rPr>
          <w:rFonts w:hint="eastAsia" w:ascii="宋体" w:hAnsi="宋体"/>
          <w:szCs w:val="21"/>
        </w:rPr>
        <w:t>效力顺序。采购文件、投标文件、中标通知书及本合同之所有附件均为本合同的有效组成部份，与本合同具有同样法律效力。若合同各类文件与合同正文有冲突，各类文件的效力顺序为：合同正文及附件、依据本合同发出的订货单、采购文件、投标文件、中标通知书</w:t>
      </w:r>
      <w:bookmarkEnd w:id="62"/>
      <w:r>
        <w:rPr>
          <w:rFonts w:hint="eastAsia" w:ascii="宋体" w:hAnsi="宋体"/>
          <w:szCs w:val="21"/>
        </w:rPr>
        <w:t>。</w:t>
      </w:r>
      <w:bookmarkEnd w:id="63"/>
    </w:p>
    <w:bookmarkEnd w:id="64"/>
    <w:p w14:paraId="2F519A10">
      <w:pPr>
        <w:widowControl/>
        <w:numPr>
          <w:ilvl w:val="0"/>
          <w:numId w:val="25"/>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其他考评。甲方根据广东省广播电视网络股份有限公司有关供应商管理办法的相关规定对供应商的年度履约行为进行考核评价，甲方有权根据评价结果，按照该管理办法及相关规定对乙方作出相应的处理。</w:t>
      </w:r>
    </w:p>
    <w:p w14:paraId="689014BA">
      <w:pPr>
        <w:widowControl/>
        <w:numPr>
          <w:ilvl w:val="0"/>
          <w:numId w:val="25"/>
        </w:numPr>
        <w:autoSpaceDE w:val="0"/>
        <w:autoSpaceDN w:val="0"/>
        <w:spacing w:line="360" w:lineRule="auto"/>
        <w:ind w:firstLine="420" w:firstLineChars="200"/>
        <w:textAlignment w:val="bottom"/>
        <w:rPr>
          <w:rFonts w:ascii="宋体" w:hAnsi="宋体"/>
          <w:szCs w:val="21"/>
        </w:rPr>
      </w:pPr>
      <w:r>
        <w:rPr>
          <w:rFonts w:hint="eastAsia" w:ascii="宋体" w:hAnsi="宋体"/>
          <w:szCs w:val="21"/>
        </w:rPr>
        <w:t>合同效力。合同将保持其效力直至双方已完全履行合同项下的所有义务并且双方之间的所有付款和索赔已结清。</w:t>
      </w:r>
    </w:p>
    <w:p w14:paraId="7A781742">
      <w:pPr>
        <w:widowControl/>
        <w:numPr>
          <w:ilvl w:val="0"/>
          <w:numId w:val="25"/>
        </w:numPr>
        <w:autoSpaceDE w:val="0"/>
        <w:autoSpaceDN w:val="0"/>
        <w:spacing w:line="360" w:lineRule="auto"/>
        <w:ind w:firstLine="420" w:firstLineChars="200"/>
        <w:textAlignment w:val="bottom"/>
        <w:rPr>
          <w:rFonts w:ascii="宋体" w:hAnsi="宋体"/>
          <w:szCs w:val="21"/>
        </w:rPr>
      </w:pPr>
      <w:r>
        <w:rPr>
          <w:rFonts w:ascii="宋体" w:hAnsi="宋体"/>
          <w:szCs w:val="21"/>
        </w:rPr>
        <w:t>本</w:t>
      </w:r>
      <w:r>
        <w:rPr>
          <w:rFonts w:hint="eastAsia" w:ascii="宋体" w:hAnsi="宋体"/>
          <w:szCs w:val="21"/>
        </w:rPr>
        <w:t>合同</w:t>
      </w:r>
      <w:r>
        <w:rPr>
          <w:rFonts w:ascii="宋体" w:hAnsi="宋体"/>
          <w:szCs w:val="21"/>
        </w:rPr>
        <w:t>自</w:t>
      </w:r>
      <w:r>
        <w:rPr>
          <w:rFonts w:hint="eastAsia" w:ascii="宋体" w:hAnsi="宋体"/>
          <w:szCs w:val="21"/>
        </w:rPr>
        <w:t>双方签署（单位加盖公章、法定代表人或授权代表签名）</w:t>
      </w:r>
      <w:r>
        <w:rPr>
          <w:rFonts w:ascii="宋体" w:hAnsi="宋体"/>
          <w:szCs w:val="21"/>
        </w:rPr>
        <w:t>之日起生效。</w:t>
      </w:r>
      <w:r>
        <w:rPr>
          <w:rFonts w:hint="eastAsia" w:ascii="宋体" w:hAnsi="宋体"/>
          <w:szCs w:val="21"/>
        </w:rPr>
        <w:t>本合同壹</w:t>
      </w:r>
      <w:r>
        <w:rPr>
          <w:rFonts w:ascii="宋体" w:hAnsi="宋体"/>
          <w:szCs w:val="21"/>
        </w:rPr>
        <w:t>式</w:t>
      </w:r>
      <w:r>
        <w:rPr>
          <w:rFonts w:hint="eastAsia" w:ascii="宋体" w:hAnsi="宋体"/>
          <w:szCs w:val="21"/>
        </w:rPr>
        <w:t>【肆】</w:t>
      </w:r>
      <w:r>
        <w:rPr>
          <w:rFonts w:ascii="宋体" w:hAnsi="宋体"/>
          <w:szCs w:val="21"/>
        </w:rPr>
        <w:t>份，甲</w:t>
      </w:r>
      <w:r>
        <w:rPr>
          <w:rFonts w:hint="eastAsia" w:ascii="宋体" w:hAnsi="宋体"/>
          <w:szCs w:val="21"/>
        </w:rPr>
        <w:t>、</w:t>
      </w:r>
      <w:r>
        <w:rPr>
          <w:rFonts w:ascii="宋体" w:hAnsi="宋体"/>
          <w:szCs w:val="21"/>
        </w:rPr>
        <w:t>乙</w:t>
      </w:r>
      <w:r>
        <w:rPr>
          <w:rFonts w:hint="eastAsia" w:ascii="宋体" w:hAnsi="宋体"/>
          <w:szCs w:val="21"/>
        </w:rPr>
        <w:t>双方</w:t>
      </w:r>
      <w:r>
        <w:rPr>
          <w:rFonts w:ascii="宋体" w:hAnsi="宋体"/>
          <w:szCs w:val="21"/>
        </w:rPr>
        <w:t>各执</w:t>
      </w:r>
      <w:r>
        <w:rPr>
          <w:rFonts w:hint="eastAsia" w:ascii="宋体" w:hAnsi="宋体"/>
          <w:szCs w:val="21"/>
        </w:rPr>
        <w:t>【贰】</w:t>
      </w:r>
      <w:r>
        <w:rPr>
          <w:rFonts w:ascii="宋体" w:hAnsi="宋体"/>
          <w:szCs w:val="21"/>
        </w:rPr>
        <w:t>份，具有同等法律效力。</w:t>
      </w:r>
    </w:p>
    <w:p w14:paraId="6C212A32">
      <w:pPr>
        <w:widowControl/>
        <w:spacing w:line="360" w:lineRule="auto"/>
        <w:ind w:left="420"/>
        <w:textAlignment w:val="bottom"/>
        <w:rPr>
          <w:rFonts w:ascii="宋体" w:hAnsi="宋体"/>
          <w:szCs w:val="21"/>
        </w:rPr>
      </w:pPr>
      <w:r>
        <w:rPr>
          <w:rFonts w:hint="eastAsia" w:ascii="宋体" w:hAnsi="宋体"/>
          <w:szCs w:val="21"/>
        </w:rPr>
        <w:t>（以下无正文）</w:t>
      </w:r>
    </w:p>
    <w:p w14:paraId="4F5CBDAB">
      <w:pPr>
        <w:widowControl/>
        <w:spacing w:line="480" w:lineRule="auto"/>
        <w:jc w:val="left"/>
        <w:rPr>
          <w:rFonts w:ascii="宋体" w:hAnsi="宋体"/>
          <w:szCs w:val="21"/>
        </w:rPr>
      </w:pPr>
      <w:r>
        <w:rPr>
          <w:rFonts w:ascii="宋体" w:hAnsi="宋体"/>
          <w:szCs w:val="21"/>
        </w:rPr>
        <w:t>甲方</w:t>
      </w:r>
      <w:r>
        <w:rPr>
          <w:rFonts w:hint="eastAsia" w:ascii="宋体" w:hAnsi="宋体"/>
          <w:szCs w:val="21"/>
        </w:rPr>
        <w:t>（盖章）</w:t>
      </w:r>
      <w:r>
        <w:rPr>
          <w:rFonts w:ascii="宋体" w:hAnsi="宋体"/>
          <w:szCs w:val="21"/>
        </w:rPr>
        <w:t>：</w:t>
      </w:r>
      <w:r>
        <w:rPr>
          <w:rFonts w:hint="eastAsia" w:ascii="宋体" w:hAnsi="宋体"/>
          <w:szCs w:val="21"/>
        </w:rPr>
        <w:t>广东省广播电视网络股份有限公司汕尾</w:t>
      </w:r>
      <w:r>
        <w:rPr>
          <w:rFonts w:ascii="宋体" w:hAnsi="宋体"/>
          <w:szCs w:val="21"/>
        </w:rPr>
        <w:t>分公司</w:t>
      </w:r>
    </w:p>
    <w:p w14:paraId="33E52C8D">
      <w:pPr>
        <w:spacing w:line="480" w:lineRule="auto"/>
        <w:rPr>
          <w:rFonts w:ascii="宋体" w:hAnsi="宋体"/>
          <w:szCs w:val="21"/>
        </w:rPr>
      </w:pPr>
      <w:r>
        <w:rPr>
          <w:rFonts w:hint="eastAsia" w:ascii="宋体" w:hAnsi="宋体"/>
          <w:szCs w:val="21"/>
        </w:rPr>
        <w:t>法定</w:t>
      </w:r>
      <w:r>
        <w:rPr>
          <w:rFonts w:ascii="宋体" w:hAnsi="宋体"/>
          <w:szCs w:val="21"/>
        </w:rPr>
        <w:t>代表人</w:t>
      </w:r>
      <w:r>
        <w:rPr>
          <w:rFonts w:hint="eastAsia" w:ascii="宋体" w:hAnsi="宋体"/>
          <w:szCs w:val="21"/>
        </w:rPr>
        <w:t>或授权代表（签名）</w:t>
      </w:r>
      <w:r>
        <w:rPr>
          <w:rFonts w:ascii="宋体" w:hAnsi="宋体"/>
          <w:szCs w:val="21"/>
        </w:rPr>
        <w:t>：</w:t>
      </w:r>
    </w:p>
    <w:p w14:paraId="79EAF87B">
      <w:pPr>
        <w:spacing w:line="480" w:lineRule="auto"/>
        <w:rPr>
          <w:rFonts w:ascii="宋体" w:hAnsi="宋体"/>
          <w:szCs w:val="21"/>
        </w:rPr>
      </w:pPr>
      <w:r>
        <w:rPr>
          <w:rFonts w:hint="eastAsia" w:ascii="宋体" w:hAnsi="宋体"/>
          <w:szCs w:val="21"/>
        </w:rPr>
        <w:t>经办人（签名）：</w:t>
      </w:r>
    </w:p>
    <w:p w14:paraId="464B9007">
      <w:pPr>
        <w:spacing w:line="480" w:lineRule="auto"/>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5BE1346F">
      <w:pPr>
        <w:spacing w:line="480" w:lineRule="auto"/>
        <w:rPr>
          <w:rFonts w:ascii="宋体" w:hAnsi="宋体"/>
          <w:szCs w:val="21"/>
        </w:rPr>
      </w:pPr>
      <w:r>
        <w:rPr>
          <w:rFonts w:hint="eastAsia" w:ascii="宋体" w:hAnsi="宋体"/>
          <w:szCs w:val="21"/>
        </w:rPr>
        <w:t>乙</w:t>
      </w:r>
      <w:r>
        <w:rPr>
          <w:rFonts w:ascii="宋体" w:hAnsi="宋体"/>
          <w:szCs w:val="21"/>
        </w:rPr>
        <w:t>方</w:t>
      </w:r>
      <w:r>
        <w:rPr>
          <w:rFonts w:hint="eastAsia" w:ascii="宋体" w:hAnsi="宋体"/>
          <w:szCs w:val="21"/>
        </w:rPr>
        <w:t>（盖章）</w:t>
      </w:r>
      <w:r>
        <w:rPr>
          <w:rFonts w:ascii="宋体" w:hAnsi="宋体"/>
          <w:szCs w:val="21"/>
        </w:rPr>
        <w:t xml:space="preserve">： </w:t>
      </w:r>
    </w:p>
    <w:p w14:paraId="69A562A2">
      <w:pPr>
        <w:spacing w:line="480" w:lineRule="auto"/>
        <w:rPr>
          <w:rFonts w:ascii="宋体" w:hAnsi="宋体"/>
          <w:szCs w:val="21"/>
        </w:rPr>
      </w:pPr>
      <w:r>
        <w:rPr>
          <w:rFonts w:hint="eastAsia" w:ascii="宋体" w:hAnsi="宋体"/>
          <w:szCs w:val="21"/>
        </w:rPr>
        <w:t>法定</w:t>
      </w:r>
      <w:r>
        <w:rPr>
          <w:rFonts w:ascii="宋体" w:hAnsi="宋体"/>
          <w:szCs w:val="21"/>
        </w:rPr>
        <w:t>代表人</w:t>
      </w:r>
      <w:r>
        <w:rPr>
          <w:rFonts w:hint="eastAsia" w:ascii="宋体" w:hAnsi="宋体"/>
          <w:szCs w:val="21"/>
        </w:rPr>
        <w:t>或授权代表人（签名）</w:t>
      </w:r>
      <w:r>
        <w:rPr>
          <w:rFonts w:ascii="宋体" w:hAnsi="宋体"/>
          <w:szCs w:val="21"/>
        </w:rPr>
        <w:t>：</w:t>
      </w:r>
    </w:p>
    <w:p w14:paraId="08C5D8AA">
      <w:pPr>
        <w:spacing w:line="480" w:lineRule="auto"/>
        <w:rPr>
          <w:rFonts w:ascii="宋体" w:hAnsi="宋体"/>
          <w:szCs w:val="21"/>
        </w:rPr>
      </w:pPr>
      <w:r>
        <w:rPr>
          <w:rFonts w:hint="eastAsia" w:ascii="宋体" w:hAnsi="宋体"/>
          <w:szCs w:val="21"/>
        </w:rPr>
        <w:t>经办人（签名）：</w:t>
      </w:r>
    </w:p>
    <w:p w14:paraId="2915B63E">
      <w:pPr>
        <w:tabs>
          <w:tab w:val="left" w:pos="1701"/>
        </w:tabs>
        <w:spacing w:line="480" w:lineRule="auto"/>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40FD431D">
      <w:pPr>
        <w:spacing w:after="120"/>
        <w:ind w:left="420" w:leftChars="200" w:firstLine="420" w:firstLineChars="200"/>
      </w:pPr>
    </w:p>
    <w:p w14:paraId="4F047A2A">
      <w:pPr>
        <w:tabs>
          <w:tab w:val="left" w:pos="1701"/>
        </w:tabs>
        <w:spacing w:line="360" w:lineRule="auto"/>
        <w:rPr>
          <w:rFonts w:ascii="宋体" w:hAnsi="宋体"/>
          <w:sz w:val="24"/>
          <w:szCs w:val="20"/>
        </w:rPr>
      </w:pPr>
      <w:bookmarkStart w:id="65" w:name="_Hlk521073528"/>
      <w:r>
        <w:rPr>
          <w:rFonts w:hint="eastAsia" w:ascii="宋体" w:hAnsi="宋体"/>
          <w:sz w:val="24"/>
          <w:szCs w:val="20"/>
        </w:rPr>
        <w:t>本合同签订地：</w:t>
      </w:r>
      <w:bookmarkEnd w:id="65"/>
    </w:p>
    <w:p w14:paraId="79CF73CC">
      <w:pPr>
        <w:widowControl/>
        <w:jc w:val="left"/>
        <w:rPr>
          <w:szCs w:val="20"/>
        </w:rPr>
      </w:pPr>
    </w:p>
    <w:p w14:paraId="269A5172">
      <w:pPr>
        <w:spacing w:after="120"/>
        <w:ind w:left="420" w:leftChars="200" w:firstLine="420" w:firstLineChars="200"/>
      </w:pPr>
    </w:p>
    <w:p w14:paraId="09335178">
      <w:pPr>
        <w:spacing w:after="120"/>
        <w:ind w:left="420" w:leftChars="200" w:firstLine="420" w:firstLineChars="200"/>
      </w:pPr>
    </w:p>
    <w:p w14:paraId="10C90DE9">
      <w:pPr>
        <w:spacing w:after="120"/>
        <w:ind w:left="420" w:leftChars="200" w:firstLine="420" w:firstLineChars="200"/>
      </w:pPr>
    </w:p>
    <w:p w14:paraId="3685D3D3">
      <w:pPr>
        <w:spacing w:after="120"/>
        <w:ind w:left="420" w:leftChars="200" w:firstLine="420" w:firstLineChars="200"/>
      </w:pPr>
    </w:p>
    <w:p w14:paraId="32608424">
      <w:pPr>
        <w:spacing w:after="120"/>
        <w:ind w:left="420" w:leftChars="200" w:firstLine="420" w:firstLineChars="200"/>
      </w:pPr>
    </w:p>
    <w:p w14:paraId="0C2768A8">
      <w:pPr>
        <w:spacing w:after="120"/>
      </w:pPr>
    </w:p>
    <w:p w14:paraId="5EE6B3AB">
      <w:pPr>
        <w:spacing w:line="360" w:lineRule="auto"/>
        <w:rPr>
          <w:sz w:val="24"/>
        </w:rPr>
      </w:pPr>
      <w:r>
        <w:rPr>
          <w:rFonts w:hint="eastAsia"/>
          <w:sz w:val="24"/>
        </w:rPr>
        <w:t>附件一：廉洁自律协议</w:t>
      </w:r>
    </w:p>
    <w:p w14:paraId="5387A1A1">
      <w:pPr>
        <w:spacing w:line="360" w:lineRule="auto"/>
        <w:rPr>
          <w:b/>
          <w:sz w:val="24"/>
        </w:rPr>
      </w:pPr>
    </w:p>
    <w:p w14:paraId="155076A8">
      <w:pPr>
        <w:spacing w:line="360" w:lineRule="auto"/>
        <w:jc w:val="center"/>
        <w:rPr>
          <w:b/>
          <w:sz w:val="24"/>
        </w:rPr>
      </w:pPr>
      <w:r>
        <w:rPr>
          <w:rFonts w:hint="eastAsia"/>
          <w:b/>
          <w:sz w:val="24"/>
        </w:rPr>
        <w:t>廉洁自律协议</w:t>
      </w:r>
    </w:p>
    <w:p w14:paraId="4AE4C45A">
      <w:pPr>
        <w:spacing w:line="360" w:lineRule="auto"/>
        <w:rPr>
          <w:sz w:val="24"/>
        </w:rPr>
      </w:pPr>
    </w:p>
    <w:p w14:paraId="454D88D0">
      <w:pPr>
        <w:spacing w:line="360" w:lineRule="auto"/>
        <w:rPr>
          <w:sz w:val="24"/>
        </w:rPr>
      </w:pPr>
      <w:r>
        <w:rPr>
          <w:rFonts w:hint="eastAsia"/>
          <w:sz w:val="24"/>
        </w:rPr>
        <w:t>甲方：</w:t>
      </w:r>
      <w:r>
        <w:rPr>
          <w:rFonts w:hint="eastAsia"/>
          <w:b/>
          <w:sz w:val="24"/>
        </w:rPr>
        <w:t>广东省广播电视网络股份有限公司汕尾分公司</w:t>
      </w:r>
    </w:p>
    <w:p w14:paraId="4A865E6A">
      <w:pPr>
        <w:spacing w:line="360" w:lineRule="auto"/>
        <w:rPr>
          <w:b/>
          <w:sz w:val="24"/>
        </w:rPr>
      </w:pPr>
      <w:r>
        <w:rPr>
          <w:rFonts w:hint="eastAsia"/>
          <w:sz w:val="24"/>
        </w:rPr>
        <w:t>乙方：</w:t>
      </w:r>
    </w:p>
    <w:p w14:paraId="1FE0F3F5">
      <w:pPr>
        <w:spacing w:line="360" w:lineRule="auto"/>
        <w:ind w:left="208" w:leftChars="99" w:firstLine="463" w:firstLineChars="193"/>
        <w:rPr>
          <w:sz w:val="24"/>
        </w:rPr>
      </w:pPr>
      <w:r>
        <w:rPr>
          <w:rFonts w:hint="eastAsia"/>
          <w:sz w:val="24"/>
        </w:rPr>
        <w:t>为保障甲乙双方的业务往来充分体现公开、公平、公正和恪守诚信的精神，预防商业贿赂和不正当竞争，促进企业党风廉政建设，甲方（广东省广播电视网络股份有限公司汕尾分公司）与乙方（</w:t>
      </w:r>
      <w:r>
        <w:rPr>
          <w:rFonts w:hint="eastAsia"/>
          <w:sz w:val="24"/>
          <w:u w:val="single"/>
        </w:rPr>
        <w:t xml:space="preserve">                                      </w:t>
      </w:r>
      <w:r>
        <w:rPr>
          <w:rFonts w:hint="eastAsia"/>
          <w:sz w:val="24"/>
        </w:rPr>
        <w:t>）自愿签订本协议。</w:t>
      </w:r>
    </w:p>
    <w:p w14:paraId="13FBC39E">
      <w:pPr>
        <w:spacing w:line="360" w:lineRule="auto"/>
        <w:ind w:right="-325" w:rightChars="-155" w:firstLine="484" w:firstLineChars="201"/>
        <w:rPr>
          <w:sz w:val="24"/>
        </w:rPr>
      </w:pPr>
      <w:r>
        <w:rPr>
          <w:rFonts w:hint="eastAsia"/>
          <w:b/>
          <w:sz w:val="24"/>
        </w:rPr>
        <w:t xml:space="preserve">第一条 </w:t>
      </w:r>
      <w:r>
        <w:rPr>
          <w:rFonts w:hint="eastAsia"/>
          <w:sz w:val="24"/>
        </w:rPr>
        <w:t xml:space="preserve"> 甲乙双方一致确认，本协议作为甲乙双方所有业务往来合同的附件，本协议经双方签署后生效。</w:t>
      </w:r>
    </w:p>
    <w:p w14:paraId="3C8C2E0F">
      <w:pPr>
        <w:spacing w:line="360" w:lineRule="auto"/>
        <w:ind w:left="-2" w:leftChars="-1" w:firstLine="428"/>
        <w:rPr>
          <w:b/>
          <w:sz w:val="24"/>
        </w:rPr>
      </w:pPr>
      <w:r>
        <w:rPr>
          <w:rFonts w:hint="eastAsia"/>
          <w:b/>
          <w:sz w:val="24"/>
        </w:rPr>
        <w:t>第二条  甲乙双方应遵守下列条款：</w:t>
      </w:r>
    </w:p>
    <w:p w14:paraId="68CFCEFD">
      <w:pPr>
        <w:numPr>
          <w:ilvl w:val="0"/>
          <w:numId w:val="26"/>
        </w:numPr>
        <w:tabs>
          <w:tab w:val="left" w:pos="0"/>
        </w:tabs>
        <w:spacing w:line="360" w:lineRule="auto"/>
        <w:ind w:firstLine="426"/>
        <w:rPr>
          <w:sz w:val="24"/>
        </w:rPr>
      </w:pPr>
      <w:r>
        <w:rPr>
          <w:rFonts w:hint="eastAsia"/>
          <w:sz w:val="24"/>
        </w:rPr>
        <w:t>严格遵守国家法律和廉政建设的规定与制度以及相关行业行风建设的纪律和规定。</w:t>
      </w:r>
    </w:p>
    <w:p w14:paraId="07449C13">
      <w:pPr>
        <w:numPr>
          <w:ilvl w:val="0"/>
          <w:numId w:val="26"/>
        </w:numPr>
        <w:tabs>
          <w:tab w:val="left" w:pos="0"/>
        </w:tabs>
        <w:spacing w:line="360" w:lineRule="auto"/>
        <w:ind w:firstLine="426"/>
        <w:rPr>
          <w:sz w:val="24"/>
        </w:rPr>
      </w:pPr>
      <w:r>
        <w:rPr>
          <w:rFonts w:hint="eastAsia"/>
          <w:sz w:val="24"/>
        </w:rPr>
        <w:t>甲乙双方人员的业务活动应坚持公开、公平、公正的原则，不得损害国家和企业利益。</w:t>
      </w:r>
    </w:p>
    <w:p w14:paraId="6E244869">
      <w:pPr>
        <w:numPr>
          <w:ilvl w:val="0"/>
          <w:numId w:val="26"/>
        </w:numPr>
        <w:tabs>
          <w:tab w:val="left" w:pos="0"/>
        </w:tabs>
        <w:spacing w:line="360" w:lineRule="auto"/>
        <w:ind w:firstLine="426"/>
        <w:rPr>
          <w:sz w:val="24"/>
        </w:rPr>
      </w:pPr>
      <w:r>
        <w:rPr>
          <w:rFonts w:hint="eastAsia"/>
          <w:sz w:val="24"/>
        </w:rPr>
        <w:t xml:space="preserve">甲乙双方应对各自工作人员开展廉政教育，增强相关人员廉洁自律的意识。 </w:t>
      </w:r>
    </w:p>
    <w:p w14:paraId="00FAD73D">
      <w:pPr>
        <w:tabs>
          <w:tab w:val="left" w:pos="0"/>
        </w:tabs>
        <w:spacing w:line="360" w:lineRule="auto"/>
        <w:ind w:left="-2" w:leftChars="-1" w:firstLine="428"/>
        <w:rPr>
          <w:b/>
          <w:sz w:val="24"/>
        </w:rPr>
      </w:pPr>
      <w:r>
        <w:rPr>
          <w:rFonts w:hint="eastAsia"/>
          <w:b/>
          <w:sz w:val="24"/>
        </w:rPr>
        <w:t>第三条  甲方应遵守下列条款：</w:t>
      </w:r>
    </w:p>
    <w:p w14:paraId="321FF2A3">
      <w:pPr>
        <w:numPr>
          <w:ilvl w:val="0"/>
          <w:numId w:val="27"/>
        </w:numPr>
        <w:tabs>
          <w:tab w:val="left" w:pos="0"/>
        </w:tabs>
        <w:spacing w:line="360" w:lineRule="auto"/>
        <w:ind w:firstLine="426"/>
        <w:rPr>
          <w:sz w:val="24"/>
        </w:rPr>
      </w:pPr>
      <w:r>
        <w:rPr>
          <w:rFonts w:hint="eastAsia"/>
          <w:sz w:val="24"/>
        </w:rPr>
        <w:t>甲方工作人员及其亲属不得向乙方索要或收受乙方馈赠的礼品以及现金、有价证券、支付凭证。</w:t>
      </w:r>
    </w:p>
    <w:p w14:paraId="0EAC28E4">
      <w:pPr>
        <w:numPr>
          <w:ilvl w:val="0"/>
          <w:numId w:val="27"/>
        </w:numPr>
        <w:tabs>
          <w:tab w:val="left" w:pos="0"/>
          <w:tab w:val="left" w:pos="426"/>
        </w:tabs>
        <w:spacing w:line="360" w:lineRule="auto"/>
        <w:ind w:firstLine="426"/>
        <w:rPr>
          <w:sz w:val="24"/>
        </w:rPr>
      </w:pPr>
      <w:r>
        <w:rPr>
          <w:rFonts w:hint="eastAsia"/>
          <w:sz w:val="24"/>
        </w:rPr>
        <w:t>甲方工作人员不得接受乙方为甲方单位或个人购置或提供通信工具、交通工具和高档办公用品等物品，不得以任何理由要求乙方提供度假、出国（出境）旅游、到营业性娱乐场所活动。</w:t>
      </w:r>
    </w:p>
    <w:p w14:paraId="7DA9715A">
      <w:pPr>
        <w:numPr>
          <w:ilvl w:val="0"/>
          <w:numId w:val="27"/>
        </w:numPr>
        <w:tabs>
          <w:tab w:val="left" w:pos="0"/>
          <w:tab w:val="left" w:pos="426"/>
        </w:tabs>
        <w:spacing w:line="360" w:lineRule="auto"/>
        <w:ind w:firstLine="426"/>
        <w:rPr>
          <w:sz w:val="24"/>
        </w:rPr>
      </w:pPr>
      <w:r>
        <w:rPr>
          <w:rFonts w:hint="eastAsia"/>
          <w:sz w:val="24"/>
        </w:rPr>
        <w:t>甲方工作人员不得要求乙方为其配偶、子女安排工作，为其个人及其亲属支付应由个人支付的各种费用。</w:t>
      </w:r>
    </w:p>
    <w:p w14:paraId="686E8CEE">
      <w:pPr>
        <w:numPr>
          <w:ilvl w:val="0"/>
          <w:numId w:val="27"/>
        </w:numPr>
        <w:tabs>
          <w:tab w:val="left" w:pos="0"/>
          <w:tab w:val="left" w:pos="426"/>
        </w:tabs>
        <w:spacing w:line="360" w:lineRule="auto"/>
        <w:ind w:firstLine="426"/>
        <w:rPr>
          <w:sz w:val="24"/>
        </w:rPr>
      </w:pPr>
      <w:r>
        <w:rPr>
          <w:rFonts w:hint="eastAsia"/>
          <w:sz w:val="24"/>
        </w:rPr>
        <w:t>如果乙方工作人员向甲方工作人员提供第三条第1至3款所指的内容，甲方工作人员应拒绝对方；对于无法拒绝的，应及时向甲方监察部门报告。</w:t>
      </w:r>
    </w:p>
    <w:p w14:paraId="74217906">
      <w:pPr>
        <w:spacing w:line="360" w:lineRule="auto"/>
        <w:ind w:firstLine="484" w:firstLineChars="201"/>
        <w:rPr>
          <w:b/>
          <w:sz w:val="24"/>
        </w:rPr>
      </w:pPr>
      <w:bookmarkStart w:id="66" w:name="_Toc378859932"/>
      <w:r>
        <w:rPr>
          <w:rFonts w:hint="eastAsia"/>
          <w:b/>
          <w:sz w:val="24"/>
        </w:rPr>
        <w:t>第四条  乙方应遵守下列条款：</w:t>
      </w:r>
      <w:bookmarkEnd w:id="66"/>
    </w:p>
    <w:p w14:paraId="432CD0F8">
      <w:pPr>
        <w:numPr>
          <w:ilvl w:val="0"/>
          <w:numId w:val="28"/>
        </w:numPr>
        <w:spacing w:line="360" w:lineRule="auto"/>
        <w:ind w:left="0" w:firstLine="426"/>
        <w:rPr>
          <w:sz w:val="24"/>
        </w:rPr>
      </w:pPr>
      <w:r>
        <w:rPr>
          <w:rFonts w:hint="eastAsia"/>
          <w:sz w:val="24"/>
        </w:rPr>
        <w:t>乙方不得向甲方工作人员及其亲属馈赠礼品以及现金、有价证券、支付凭证。</w:t>
      </w:r>
    </w:p>
    <w:p w14:paraId="29598240">
      <w:pPr>
        <w:numPr>
          <w:ilvl w:val="0"/>
          <w:numId w:val="28"/>
        </w:numPr>
        <w:spacing w:line="360" w:lineRule="auto"/>
        <w:ind w:left="0" w:firstLine="426"/>
        <w:rPr>
          <w:sz w:val="24"/>
        </w:rPr>
      </w:pPr>
      <w:r>
        <w:rPr>
          <w:rFonts w:hint="eastAsia"/>
          <w:sz w:val="24"/>
        </w:rPr>
        <w:t>乙方不得为甲方单位或个人购置或提供通信工具、交通工具和高档办公用品等物品。</w:t>
      </w:r>
    </w:p>
    <w:p w14:paraId="69E6A804">
      <w:pPr>
        <w:numPr>
          <w:ilvl w:val="0"/>
          <w:numId w:val="28"/>
        </w:numPr>
        <w:spacing w:line="360" w:lineRule="auto"/>
        <w:ind w:left="0" w:firstLine="426"/>
        <w:rPr>
          <w:sz w:val="24"/>
        </w:rPr>
      </w:pPr>
      <w:r>
        <w:rPr>
          <w:rFonts w:hint="eastAsia"/>
          <w:sz w:val="24"/>
        </w:rPr>
        <w:t>乙方不得向甲方工作人员提供度假、出国（出境）旅游，以及到营业性娱乐场所活动。</w:t>
      </w:r>
    </w:p>
    <w:p w14:paraId="50C88854">
      <w:pPr>
        <w:numPr>
          <w:ilvl w:val="0"/>
          <w:numId w:val="28"/>
        </w:numPr>
        <w:spacing w:line="360" w:lineRule="auto"/>
        <w:ind w:left="0" w:firstLine="426"/>
        <w:rPr>
          <w:sz w:val="24"/>
        </w:rPr>
      </w:pPr>
      <w:r>
        <w:rPr>
          <w:rFonts w:hint="eastAsia"/>
          <w:sz w:val="24"/>
        </w:rPr>
        <w:t>乙方不得以任何名义为甲方工作人员的配偶、子女安排工作，为甲方工作人员及其亲属支付应由其个人支付的各种费用。</w:t>
      </w:r>
    </w:p>
    <w:p w14:paraId="3822E76B">
      <w:pPr>
        <w:numPr>
          <w:ilvl w:val="0"/>
          <w:numId w:val="28"/>
        </w:numPr>
        <w:spacing w:line="360" w:lineRule="auto"/>
        <w:ind w:left="0" w:firstLine="426"/>
        <w:rPr>
          <w:sz w:val="24"/>
        </w:rPr>
      </w:pPr>
      <w:r>
        <w:rPr>
          <w:rFonts w:hint="eastAsia"/>
          <w:sz w:val="24"/>
        </w:rPr>
        <w:t>甲方工作人员主动向乙方人员索要或要求乙方安排和提供第四条1至4款所指的内容，乙方应予以拒绝，并希望向甲方监察部门及时举报。监察部门将承诺保护乙方当事人的合法权益不受任何损害。</w:t>
      </w:r>
    </w:p>
    <w:p w14:paraId="2E14B2BD">
      <w:pPr>
        <w:spacing w:line="360" w:lineRule="auto"/>
        <w:ind w:firstLine="484" w:firstLineChars="201"/>
        <w:rPr>
          <w:b/>
          <w:sz w:val="24"/>
        </w:rPr>
      </w:pPr>
      <w:bookmarkStart w:id="67" w:name="_Toc378859933"/>
      <w:r>
        <w:rPr>
          <w:rFonts w:hint="eastAsia"/>
          <w:b/>
          <w:sz w:val="24"/>
        </w:rPr>
        <w:t>第五条 违约责任</w:t>
      </w:r>
      <w:bookmarkEnd w:id="67"/>
    </w:p>
    <w:p w14:paraId="6B19BF58">
      <w:pPr>
        <w:numPr>
          <w:ilvl w:val="0"/>
          <w:numId w:val="29"/>
        </w:numPr>
        <w:spacing w:line="360" w:lineRule="auto"/>
        <w:ind w:left="0" w:firstLine="426"/>
        <w:rPr>
          <w:sz w:val="24"/>
        </w:rPr>
      </w:pPr>
      <w:r>
        <w:rPr>
          <w:rFonts w:hint="eastAsia"/>
          <w:sz w:val="24"/>
        </w:rPr>
        <w:t>乙方工作人员违反本协议规定的，经认定违约事实清楚、证据确凿的，甲方将在一年内不与乙方进行业务往来；情节严重的，在三年内不与乙方进行业务往来。</w:t>
      </w:r>
    </w:p>
    <w:p w14:paraId="55CE8622">
      <w:pPr>
        <w:numPr>
          <w:ilvl w:val="0"/>
          <w:numId w:val="29"/>
        </w:numPr>
        <w:spacing w:line="360" w:lineRule="auto"/>
        <w:ind w:left="0" w:firstLine="426"/>
        <w:rPr>
          <w:sz w:val="24"/>
        </w:rPr>
      </w:pPr>
      <w:r>
        <w:rPr>
          <w:rFonts w:hint="eastAsia"/>
          <w:sz w:val="24"/>
        </w:rPr>
        <w:t>甲方工作人员有违反本协议规定的，经认定有违约事实的，由甲方公司监察部门依据有关规定给予党纪、政纪或组织处理。</w:t>
      </w:r>
    </w:p>
    <w:p w14:paraId="6EFCA73B">
      <w:pPr>
        <w:spacing w:line="360" w:lineRule="auto"/>
        <w:ind w:firstLine="484" w:firstLineChars="201"/>
        <w:rPr>
          <w:color w:val="FF0000"/>
          <w:sz w:val="24"/>
        </w:rPr>
      </w:pPr>
      <w:bookmarkStart w:id="68" w:name="_Toc378859934"/>
      <w:r>
        <w:rPr>
          <w:rFonts w:hint="eastAsia"/>
          <w:b/>
          <w:sz w:val="24"/>
        </w:rPr>
        <w:t xml:space="preserve">第六条 </w:t>
      </w:r>
      <w:r>
        <w:rPr>
          <w:rFonts w:hint="eastAsia"/>
          <w:sz w:val="24"/>
        </w:rPr>
        <w:t>甲方指定由</w:t>
      </w:r>
      <w:r>
        <w:rPr>
          <w:rFonts w:hint="eastAsia"/>
          <w:b/>
          <w:sz w:val="24"/>
        </w:rPr>
        <w:t>广东省广播电视网络股份有限公司汕尾分公司</w:t>
      </w:r>
      <w:r>
        <w:rPr>
          <w:rFonts w:hint="eastAsia"/>
          <w:sz w:val="24"/>
        </w:rPr>
        <w:t>纪检监察部作为甲方执行本协议的监督部门。</w:t>
      </w:r>
      <w:bookmarkEnd w:id="68"/>
      <w:r>
        <w:rPr>
          <w:rFonts w:hint="eastAsia"/>
          <w:sz w:val="24"/>
        </w:rPr>
        <w:t>举报电话：8160600</w:t>
      </w:r>
    </w:p>
    <w:p w14:paraId="6DA87D50">
      <w:pPr>
        <w:spacing w:line="360" w:lineRule="auto"/>
        <w:ind w:firstLine="484" w:firstLineChars="201"/>
        <w:rPr>
          <w:sz w:val="24"/>
        </w:rPr>
      </w:pPr>
      <w:bookmarkStart w:id="69" w:name="_Toc378859935"/>
      <w:r>
        <w:rPr>
          <w:rFonts w:hint="eastAsia"/>
          <w:b/>
          <w:sz w:val="24"/>
        </w:rPr>
        <w:t>第七条</w:t>
      </w:r>
      <w:r>
        <w:rPr>
          <w:rFonts w:hint="eastAsia"/>
          <w:sz w:val="24"/>
        </w:rPr>
        <w:t xml:space="preserve">  本协议壹式陆份，具有同等法律效力，甲方执</w:t>
      </w:r>
      <w:r>
        <w:rPr>
          <w:sz w:val="24"/>
        </w:rPr>
        <w:t>4</w:t>
      </w:r>
      <w:r>
        <w:rPr>
          <w:rFonts w:hint="eastAsia"/>
          <w:sz w:val="24"/>
        </w:rPr>
        <w:t>份、乙方执2份。本协议自双方加盖公章或合同专用章之日起生效。</w:t>
      </w:r>
      <w:bookmarkEnd w:id="69"/>
    </w:p>
    <w:p w14:paraId="73DC6211">
      <w:pPr>
        <w:spacing w:line="360" w:lineRule="auto"/>
        <w:rPr>
          <w:sz w:val="24"/>
        </w:rPr>
      </w:pPr>
    </w:p>
    <w:p w14:paraId="68AB17B1">
      <w:pPr>
        <w:spacing w:line="360" w:lineRule="auto"/>
        <w:rPr>
          <w:sz w:val="24"/>
        </w:rPr>
      </w:pPr>
      <w:r>
        <w:rPr>
          <w:rFonts w:hint="eastAsia"/>
          <w:sz w:val="24"/>
        </w:rPr>
        <w:t>【以下无正文】</w:t>
      </w:r>
    </w:p>
    <w:p w14:paraId="06B8C256">
      <w:pPr>
        <w:spacing w:line="360" w:lineRule="auto"/>
        <w:rPr>
          <w:sz w:val="24"/>
        </w:rPr>
        <w:sectPr>
          <w:headerReference r:id="rId10" w:type="default"/>
          <w:pgSz w:w="11906" w:h="16838"/>
          <w:pgMar w:top="1440" w:right="1080" w:bottom="1440" w:left="1080" w:header="851" w:footer="992" w:gutter="0"/>
          <w:cols w:space="720" w:num="1"/>
          <w:docGrid w:type="lines" w:linePitch="312" w:charSpace="0"/>
        </w:sectPr>
      </w:pPr>
    </w:p>
    <w:p w14:paraId="79041955">
      <w:pPr>
        <w:spacing w:line="360" w:lineRule="auto"/>
        <w:ind w:left="708" w:hanging="708" w:hangingChars="294"/>
        <w:rPr>
          <w:b/>
          <w:sz w:val="24"/>
        </w:rPr>
      </w:pPr>
      <w:r>
        <w:rPr>
          <w:rFonts w:hint="eastAsia"/>
          <w:b/>
          <w:sz w:val="24"/>
        </w:rPr>
        <w:t>甲方：广东省广播电视网络股份有限公司汕尾分公司</w:t>
      </w:r>
    </w:p>
    <w:p w14:paraId="2D4CC5A5">
      <w:pPr>
        <w:spacing w:line="360" w:lineRule="auto"/>
        <w:rPr>
          <w:b/>
          <w:sz w:val="24"/>
        </w:rPr>
      </w:pPr>
      <w:r>
        <w:rPr>
          <w:rFonts w:hint="eastAsia"/>
          <w:b/>
          <w:sz w:val="24"/>
        </w:rPr>
        <w:t xml:space="preserve">代表人：                                     </w:t>
      </w:r>
    </w:p>
    <w:p w14:paraId="754716D7">
      <w:pPr>
        <w:spacing w:line="360" w:lineRule="auto"/>
        <w:rPr>
          <w:b/>
          <w:sz w:val="24"/>
        </w:rPr>
      </w:pPr>
      <w:r>
        <w:rPr>
          <w:rFonts w:hint="eastAsia"/>
          <w:b/>
          <w:sz w:val="24"/>
        </w:rPr>
        <w:t>签署日期：   年    月    日</w:t>
      </w:r>
    </w:p>
    <w:p w14:paraId="43443662">
      <w:pPr>
        <w:spacing w:line="360" w:lineRule="auto"/>
        <w:rPr>
          <w:b/>
          <w:sz w:val="24"/>
        </w:rPr>
      </w:pPr>
      <w:r>
        <w:rPr>
          <w:rFonts w:hint="eastAsia"/>
          <w:b/>
          <w:sz w:val="24"/>
        </w:rPr>
        <w:t>乙方：</w:t>
      </w:r>
    </w:p>
    <w:p w14:paraId="2AE7263E">
      <w:pPr>
        <w:spacing w:after="120"/>
        <w:ind w:left="420" w:leftChars="200" w:firstLine="422" w:firstLineChars="200"/>
        <w:rPr>
          <w:b/>
        </w:rPr>
      </w:pPr>
    </w:p>
    <w:p w14:paraId="00B2EDCC">
      <w:pPr>
        <w:spacing w:line="360" w:lineRule="auto"/>
        <w:rPr>
          <w:b/>
          <w:sz w:val="24"/>
        </w:rPr>
      </w:pPr>
      <w:r>
        <w:rPr>
          <w:rFonts w:hint="eastAsia"/>
          <w:b/>
          <w:sz w:val="24"/>
        </w:rPr>
        <w:t xml:space="preserve">代表人：                                     </w:t>
      </w:r>
    </w:p>
    <w:p w14:paraId="6B595358">
      <w:pPr>
        <w:spacing w:line="360" w:lineRule="auto"/>
        <w:rPr>
          <w:b/>
          <w:sz w:val="24"/>
        </w:rPr>
      </w:pPr>
      <w:r>
        <w:rPr>
          <w:rFonts w:hint="eastAsia"/>
          <w:b/>
          <w:sz w:val="24"/>
        </w:rPr>
        <w:t>签署日期：   年    月    日</w:t>
      </w:r>
    </w:p>
    <w:p w14:paraId="5CDF4590">
      <w:pPr>
        <w:spacing w:line="360" w:lineRule="auto"/>
        <w:rPr>
          <w:sz w:val="24"/>
        </w:rPr>
        <w:sectPr>
          <w:type w:val="continuous"/>
          <w:pgSz w:w="11906" w:h="16838"/>
          <w:pgMar w:top="1440" w:right="1080" w:bottom="1440" w:left="1080" w:header="851" w:footer="992" w:gutter="0"/>
          <w:cols w:space="568" w:num="2"/>
          <w:docGrid w:type="lines" w:linePitch="312" w:charSpace="0"/>
        </w:sectPr>
      </w:pPr>
    </w:p>
    <w:p w14:paraId="7C7C8E95">
      <w:pPr>
        <w:spacing w:line="360" w:lineRule="auto"/>
        <w:rPr>
          <w:sz w:val="24"/>
        </w:rPr>
      </w:pPr>
    </w:p>
    <w:p w14:paraId="5176F233">
      <w:pPr>
        <w:spacing w:line="360" w:lineRule="auto"/>
        <w:rPr>
          <w:sz w:val="24"/>
        </w:rPr>
      </w:pPr>
    </w:p>
    <w:p w14:paraId="5B3662F8">
      <w:pPr>
        <w:spacing w:line="360" w:lineRule="auto"/>
        <w:rPr>
          <w:sz w:val="24"/>
        </w:rPr>
      </w:pPr>
    </w:p>
    <w:p w14:paraId="507FB922">
      <w:pPr>
        <w:spacing w:after="120"/>
        <w:ind w:left="420" w:leftChars="200" w:firstLine="420" w:firstLineChars="200"/>
      </w:pPr>
    </w:p>
    <w:p w14:paraId="4EEE1C8D">
      <w:pPr>
        <w:spacing w:after="120"/>
        <w:ind w:left="420" w:leftChars="200" w:firstLine="420" w:firstLineChars="200"/>
      </w:pPr>
    </w:p>
    <w:p w14:paraId="1FCA26D7">
      <w:pPr>
        <w:spacing w:after="120"/>
        <w:ind w:left="420" w:leftChars="200" w:firstLine="420" w:firstLineChars="200"/>
      </w:pPr>
    </w:p>
    <w:p w14:paraId="2940C2E0">
      <w:pPr>
        <w:spacing w:after="120"/>
        <w:ind w:left="420" w:leftChars="200" w:firstLine="420" w:firstLineChars="200"/>
      </w:pPr>
    </w:p>
    <w:p w14:paraId="6EEA4DF1">
      <w:pPr>
        <w:spacing w:after="120"/>
        <w:ind w:left="420" w:leftChars="200" w:firstLine="420" w:firstLineChars="200"/>
      </w:pPr>
    </w:p>
    <w:p w14:paraId="4647A817">
      <w:pPr>
        <w:spacing w:after="120"/>
        <w:ind w:left="420" w:leftChars="200" w:firstLine="420" w:firstLineChars="200"/>
      </w:pPr>
    </w:p>
    <w:p w14:paraId="3480CAC4">
      <w:pPr>
        <w:spacing w:line="360" w:lineRule="auto"/>
        <w:rPr>
          <w:sz w:val="24"/>
        </w:rPr>
      </w:pPr>
      <w:r>
        <w:rPr>
          <w:rFonts w:hint="eastAsia"/>
          <w:sz w:val="24"/>
        </w:rPr>
        <w:t>附件二：保密协议书</w:t>
      </w:r>
    </w:p>
    <w:p w14:paraId="4BEF8E4E">
      <w:pPr>
        <w:spacing w:line="360" w:lineRule="auto"/>
        <w:jc w:val="center"/>
        <w:rPr>
          <w:b/>
          <w:sz w:val="24"/>
        </w:rPr>
      </w:pPr>
      <w:r>
        <w:rPr>
          <w:rFonts w:hint="eastAsia"/>
          <w:b/>
          <w:sz w:val="24"/>
        </w:rPr>
        <w:t>保密协议书</w:t>
      </w:r>
    </w:p>
    <w:p w14:paraId="40331CA7">
      <w:pPr>
        <w:spacing w:line="360" w:lineRule="auto"/>
        <w:rPr>
          <w:sz w:val="24"/>
        </w:rPr>
      </w:pPr>
    </w:p>
    <w:p w14:paraId="03DF161A">
      <w:pPr>
        <w:spacing w:line="360" w:lineRule="auto"/>
        <w:rPr>
          <w:sz w:val="24"/>
          <w:u w:val="single"/>
        </w:rPr>
      </w:pPr>
      <w:r>
        <w:rPr>
          <w:rFonts w:hint="eastAsia"/>
          <w:sz w:val="24"/>
        </w:rPr>
        <w:t>甲方：</w:t>
      </w:r>
      <w:r>
        <w:rPr>
          <w:rFonts w:hint="eastAsia"/>
          <w:sz w:val="24"/>
          <w:u w:val="single"/>
        </w:rPr>
        <w:t>_  广东省广播电视网络股份有限公司汕尾分公司__</w:t>
      </w:r>
    </w:p>
    <w:p w14:paraId="205F9859">
      <w:pPr>
        <w:spacing w:line="360" w:lineRule="auto"/>
        <w:rPr>
          <w:sz w:val="24"/>
          <w:u w:val="single"/>
        </w:rPr>
      </w:pPr>
      <w:r>
        <w:rPr>
          <w:rFonts w:hint="eastAsia"/>
          <w:sz w:val="24"/>
        </w:rPr>
        <w:t xml:space="preserve">乙方： </w:t>
      </w:r>
      <w:r>
        <w:rPr>
          <w:sz w:val="24"/>
        </w:rPr>
        <w:t xml:space="preserve"> </w:t>
      </w:r>
      <w:r>
        <w:rPr>
          <w:sz w:val="24"/>
          <w:u w:val="single"/>
        </w:rPr>
        <w:t xml:space="preserve"> </w:t>
      </w:r>
    </w:p>
    <w:p w14:paraId="0E644AF4">
      <w:pPr>
        <w:spacing w:line="360" w:lineRule="auto"/>
        <w:ind w:firstLine="480" w:firstLineChars="200"/>
        <w:rPr>
          <w:sz w:val="24"/>
        </w:rPr>
      </w:pPr>
      <w:r>
        <w:rPr>
          <w:rFonts w:hint="eastAsia"/>
          <w:sz w:val="24"/>
        </w:rPr>
        <w:t>由于乙方可能成为甲方的合作厂商，甲方需要将相关的保密信息提供给乙方。经甲、乙双方协商，为保护甲方的信息安全和商业利益，同意就以下内容达成一致：</w:t>
      </w:r>
    </w:p>
    <w:p w14:paraId="389C2418">
      <w:pPr>
        <w:spacing w:line="360" w:lineRule="auto"/>
        <w:ind w:firstLine="482" w:firstLineChars="200"/>
        <w:rPr>
          <w:rFonts w:ascii="宋体" w:hAnsi="宋体"/>
          <w:b/>
          <w:sz w:val="24"/>
          <w:szCs w:val="22"/>
        </w:rPr>
      </w:pPr>
      <w:r>
        <w:rPr>
          <w:rFonts w:hint="eastAsia" w:ascii="宋体" w:hAnsi="宋体"/>
          <w:b/>
          <w:sz w:val="24"/>
          <w:szCs w:val="22"/>
        </w:rPr>
        <w:t>第一条  保密信息</w:t>
      </w:r>
    </w:p>
    <w:p w14:paraId="59218210">
      <w:pPr>
        <w:spacing w:line="360" w:lineRule="auto"/>
        <w:ind w:left="29" w:firstLine="446" w:firstLineChars="186"/>
        <w:rPr>
          <w:rFonts w:ascii="宋体" w:hAnsi="宋体"/>
          <w:sz w:val="24"/>
          <w:szCs w:val="22"/>
        </w:rPr>
      </w:pPr>
      <w:r>
        <w:rPr>
          <w:rFonts w:hint="eastAsia" w:ascii="宋体" w:hAnsi="宋体"/>
          <w:sz w:val="24"/>
          <w:szCs w:val="22"/>
        </w:rPr>
        <w:t>1、本协议书所指的“保密信息”，包括但不限于在合作或合同协商的过程中，乙方从甲方（或其子公司、分公司、关联公司）、甲方合作者或甲方客户处获得的与合作有关或因合作产生的任何商业、营销、技术、运营数据或其他性质的资料，无论以何种形式或载于何种载体，无论在披露时是否以口头、图像或以书面方式表明其具有保密性。</w:t>
      </w:r>
    </w:p>
    <w:p w14:paraId="75877561">
      <w:pPr>
        <w:spacing w:line="360" w:lineRule="auto"/>
        <w:ind w:left="29" w:firstLine="446" w:firstLineChars="186"/>
        <w:rPr>
          <w:rFonts w:ascii="宋体" w:hAnsi="宋体"/>
          <w:sz w:val="24"/>
          <w:szCs w:val="22"/>
        </w:rPr>
      </w:pPr>
      <w:r>
        <w:rPr>
          <w:rFonts w:hint="eastAsia" w:ascii="宋体" w:hAnsi="宋体"/>
          <w:sz w:val="24"/>
          <w:szCs w:val="22"/>
        </w:rPr>
        <w:t>2、本协议书所指的技术信息，包括但不限于与软硬件技术规范、技术研发、产品设计、产品制造有关的技术信息。</w:t>
      </w:r>
    </w:p>
    <w:p w14:paraId="68AEF4B6">
      <w:pPr>
        <w:spacing w:line="360" w:lineRule="auto"/>
        <w:ind w:left="29" w:firstLine="446" w:firstLineChars="186"/>
        <w:rPr>
          <w:rFonts w:ascii="宋体" w:hAnsi="宋体"/>
          <w:sz w:val="24"/>
          <w:szCs w:val="22"/>
        </w:rPr>
      </w:pPr>
      <w:r>
        <w:rPr>
          <w:rFonts w:hint="eastAsia" w:ascii="宋体" w:hAnsi="宋体"/>
          <w:sz w:val="24"/>
          <w:szCs w:val="22"/>
        </w:rPr>
        <w:t>3、甲方向乙方提供保密信息时，应明示该信息的保密性质，包括：</w:t>
      </w:r>
    </w:p>
    <w:p w14:paraId="1AEEC84E">
      <w:pPr>
        <w:spacing w:line="360" w:lineRule="auto"/>
        <w:ind w:left="29" w:firstLine="480" w:firstLineChars="200"/>
        <w:rPr>
          <w:rFonts w:ascii="宋体" w:hAnsi="宋体"/>
          <w:sz w:val="24"/>
          <w:szCs w:val="22"/>
        </w:rPr>
      </w:pPr>
      <w:r>
        <w:rPr>
          <w:rFonts w:hint="eastAsia" w:ascii="宋体" w:hAnsi="宋体"/>
          <w:sz w:val="24"/>
          <w:szCs w:val="22"/>
        </w:rPr>
        <w:t>1）当信息以书面形式或电磁记录形式提供时，应具有“保密”、“专利”、“版权”等类似字样的标志；</w:t>
      </w:r>
    </w:p>
    <w:p w14:paraId="5587182D">
      <w:pPr>
        <w:spacing w:line="360" w:lineRule="auto"/>
        <w:ind w:left="29" w:firstLine="480" w:firstLineChars="200"/>
        <w:rPr>
          <w:rFonts w:ascii="宋体" w:hAnsi="宋体"/>
          <w:sz w:val="24"/>
          <w:szCs w:val="22"/>
        </w:rPr>
      </w:pPr>
      <w:r>
        <w:rPr>
          <w:rFonts w:hint="eastAsia" w:ascii="宋体" w:hAnsi="宋体"/>
          <w:sz w:val="24"/>
          <w:szCs w:val="22"/>
        </w:rPr>
        <w:t>2）当信息以口头或可视方式提供时，应在透露前告知对方为保密信息，并在信息提供后五天内出据书面通知以确认其为保密信息；</w:t>
      </w:r>
    </w:p>
    <w:p w14:paraId="3AB746E5">
      <w:pPr>
        <w:spacing w:line="360" w:lineRule="auto"/>
        <w:ind w:left="29" w:firstLine="480" w:firstLineChars="200"/>
        <w:rPr>
          <w:rFonts w:ascii="宋体" w:hAnsi="宋体"/>
          <w:sz w:val="24"/>
          <w:szCs w:val="22"/>
        </w:rPr>
      </w:pPr>
      <w:r>
        <w:rPr>
          <w:rFonts w:hint="eastAsia" w:ascii="宋体" w:hAnsi="宋体"/>
          <w:sz w:val="24"/>
          <w:szCs w:val="22"/>
        </w:rPr>
        <w:t>3）如在具体情况下，所提供的信息显而易见为保密信息或专利，则无需再次确认其保密性。</w:t>
      </w:r>
    </w:p>
    <w:p w14:paraId="2427A326">
      <w:pPr>
        <w:spacing w:line="360" w:lineRule="auto"/>
        <w:ind w:left="29" w:firstLine="446" w:firstLineChars="186"/>
        <w:rPr>
          <w:rFonts w:ascii="宋体" w:hAnsi="宋体"/>
          <w:sz w:val="24"/>
          <w:szCs w:val="22"/>
        </w:rPr>
      </w:pPr>
      <w:r>
        <w:rPr>
          <w:rFonts w:hint="eastAsia" w:ascii="宋体" w:hAnsi="宋体"/>
          <w:sz w:val="24"/>
          <w:szCs w:val="22"/>
        </w:rPr>
        <w:t>4、本协议书所指的保密信息，不包括下列各项信息：</w:t>
      </w:r>
    </w:p>
    <w:p w14:paraId="1FAAA81F">
      <w:pPr>
        <w:spacing w:line="360" w:lineRule="auto"/>
        <w:ind w:left="29" w:firstLine="480" w:firstLineChars="200"/>
        <w:rPr>
          <w:rFonts w:ascii="宋体" w:hAnsi="宋体"/>
          <w:sz w:val="24"/>
          <w:szCs w:val="22"/>
        </w:rPr>
      </w:pPr>
      <w:r>
        <w:rPr>
          <w:rFonts w:hint="eastAsia" w:ascii="宋体" w:hAnsi="宋体"/>
          <w:sz w:val="24"/>
          <w:szCs w:val="22"/>
        </w:rPr>
        <w:t>1）乙方能通过书面文件或记录证明在双方签订本协议书之前，该信息即已成为公开信息；</w:t>
      </w:r>
    </w:p>
    <w:p w14:paraId="71007364">
      <w:pPr>
        <w:spacing w:line="360" w:lineRule="auto"/>
        <w:ind w:left="29" w:firstLine="480" w:firstLineChars="200"/>
        <w:rPr>
          <w:rFonts w:ascii="宋体" w:hAnsi="宋体"/>
          <w:sz w:val="24"/>
          <w:szCs w:val="22"/>
        </w:rPr>
      </w:pPr>
      <w:r>
        <w:rPr>
          <w:rFonts w:hint="eastAsia" w:ascii="宋体" w:hAnsi="宋体"/>
          <w:sz w:val="24"/>
          <w:szCs w:val="22"/>
        </w:rPr>
        <w:t>2）乙方能通过书面文件或记录证明该信息并非因为乙方的故意泄密行为而被第三方获取；</w:t>
      </w:r>
    </w:p>
    <w:p w14:paraId="3957C421">
      <w:pPr>
        <w:spacing w:line="360" w:lineRule="auto"/>
        <w:ind w:left="29" w:firstLine="480" w:firstLineChars="200"/>
        <w:rPr>
          <w:rFonts w:ascii="宋体" w:hAnsi="宋体"/>
          <w:sz w:val="24"/>
          <w:szCs w:val="22"/>
        </w:rPr>
      </w:pPr>
      <w:r>
        <w:rPr>
          <w:rFonts w:hint="eastAsia" w:ascii="宋体" w:hAnsi="宋体"/>
          <w:sz w:val="24"/>
          <w:szCs w:val="22"/>
        </w:rPr>
        <w:t>3）该信息经甲方的书面同意而成为公开信息；</w:t>
      </w:r>
    </w:p>
    <w:p w14:paraId="770C091E">
      <w:pPr>
        <w:spacing w:line="360" w:lineRule="auto"/>
        <w:ind w:left="29" w:firstLine="480" w:firstLineChars="200"/>
        <w:rPr>
          <w:rFonts w:ascii="宋体" w:hAnsi="宋体"/>
          <w:sz w:val="24"/>
          <w:szCs w:val="22"/>
        </w:rPr>
      </w:pPr>
      <w:r>
        <w:rPr>
          <w:rFonts w:hint="eastAsia" w:ascii="宋体" w:hAnsi="宋体"/>
          <w:sz w:val="24"/>
          <w:szCs w:val="22"/>
        </w:rPr>
        <w:t>4）乙方能通过书面文件或记录证明该信息由乙方完全独立研发，或通过合法渠道从第三方处获得，并非从甲方处获得；</w:t>
      </w:r>
    </w:p>
    <w:p w14:paraId="23C6A9A7">
      <w:pPr>
        <w:spacing w:line="360" w:lineRule="auto"/>
        <w:ind w:left="29" w:firstLine="480" w:firstLineChars="200"/>
        <w:rPr>
          <w:rFonts w:ascii="宋体" w:hAnsi="宋体"/>
          <w:sz w:val="24"/>
          <w:szCs w:val="22"/>
        </w:rPr>
      </w:pPr>
      <w:r>
        <w:rPr>
          <w:rFonts w:hint="eastAsia" w:ascii="宋体" w:hAnsi="宋体"/>
          <w:sz w:val="24"/>
          <w:szCs w:val="22"/>
        </w:rPr>
        <w:t>5）按照甲方所在地的法律规定、法院命令或行政管理部门要求，该信息有必要被揭露，乙方应在法律或法令许可的范围内，事先书面通知甲方，并对该信息采取必要的保护措施。</w:t>
      </w:r>
    </w:p>
    <w:p w14:paraId="176738EC">
      <w:pPr>
        <w:spacing w:line="360" w:lineRule="auto"/>
        <w:ind w:left="29" w:firstLine="448" w:firstLineChars="186"/>
        <w:rPr>
          <w:rFonts w:ascii="宋体" w:hAnsi="宋体"/>
          <w:b/>
          <w:sz w:val="24"/>
          <w:szCs w:val="22"/>
        </w:rPr>
      </w:pPr>
      <w:r>
        <w:rPr>
          <w:rFonts w:hint="eastAsia" w:ascii="宋体" w:hAnsi="宋体"/>
          <w:b/>
          <w:sz w:val="24"/>
          <w:szCs w:val="22"/>
        </w:rPr>
        <w:t>第二条  保密义务</w:t>
      </w:r>
    </w:p>
    <w:p w14:paraId="6DFF739F">
      <w:pPr>
        <w:spacing w:line="360" w:lineRule="auto"/>
        <w:ind w:left="29" w:firstLine="446" w:firstLineChars="186"/>
        <w:rPr>
          <w:rFonts w:ascii="宋体" w:hAnsi="宋体"/>
          <w:sz w:val="24"/>
          <w:szCs w:val="22"/>
        </w:rPr>
      </w:pPr>
      <w:r>
        <w:rPr>
          <w:rFonts w:hint="eastAsia" w:ascii="宋体" w:hAnsi="宋体"/>
          <w:sz w:val="24"/>
          <w:szCs w:val="22"/>
        </w:rPr>
        <w:t>1、凡从甲方处获得的保密信息，乙方只能将其用于和甲方合作的项目中，不得用于其它目的或用途，也不得以任何方式揭露或提供给任何第三方公司、组织或个人。如果乙方违反本条规定，甲方有权随时取消、终止或解除甲方与乙方之间的部分或所有备忘录、意向书、合同、项目或订单，而无需对乙方负任何赔偿或补偿责任，甲方有权要求乙方支付相应的违约金并赔偿甲方因此遭受的损失。</w:t>
      </w:r>
    </w:p>
    <w:p w14:paraId="7C039C4F">
      <w:pPr>
        <w:spacing w:line="360" w:lineRule="auto"/>
        <w:ind w:left="29" w:firstLine="446" w:firstLineChars="186"/>
        <w:rPr>
          <w:rFonts w:ascii="宋体" w:hAnsi="宋体"/>
          <w:sz w:val="24"/>
          <w:szCs w:val="22"/>
        </w:rPr>
      </w:pPr>
      <w:r>
        <w:rPr>
          <w:rFonts w:hint="eastAsia" w:ascii="宋体" w:hAnsi="宋体"/>
          <w:sz w:val="24"/>
          <w:szCs w:val="22"/>
        </w:rPr>
        <w:t>2、乙方将从甲方处获得的保密信息揭露或提供给其在职员工、代表人、代理人时，应事先与其签订足以保护本保密信息安全的合同，并保证该等人员将遵守乙方在本协议书中的保密义务。乙方必须对该等人员违反本协议书的保密义务的行为承担一切责任。</w:t>
      </w:r>
    </w:p>
    <w:p w14:paraId="31908527">
      <w:pPr>
        <w:spacing w:line="360" w:lineRule="auto"/>
        <w:ind w:left="29" w:firstLine="446" w:firstLineChars="186"/>
        <w:rPr>
          <w:rFonts w:ascii="宋体" w:hAnsi="宋体"/>
          <w:sz w:val="24"/>
          <w:szCs w:val="22"/>
        </w:rPr>
      </w:pPr>
      <w:r>
        <w:rPr>
          <w:rFonts w:hint="eastAsia" w:ascii="宋体" w:hAnsi="宋体"/>
          <w:sz w:val="24"/>
          <w:szCs w:val="22"/>
        </w:rPr>
        <w:t>3、凡从甲方处获得的保密信息，在未取得甲方书面同意的情况下，乙方不得擅自进行更改、解码、拆卸、试图破解，亦不得从事任何与之性质相同的行为。</w:t>
      </w:r>
    </w:p>
    <w:p w14:paraId="1050E5CA">
      <w:pPr>
        <w:spacing w:line="360" w:lineRule="auto"/>
        <w:ind w:left="29" w:firstLine="446" w:firstLineChars="186"/>
        <w:rPr>
          <w:rFonts w:ascii="宋体" w:hAnsi="宋体"/>
          <w:sz w:val="24"/>
          <w:szCs w:val="22"/>
        </w:rPr>
      </w:pPr>
      <w:r>
        <w:rPr>
          <w:rFonts w:hint="eastAsia" w:ascii="宋体" w:hAnsi="宋体"/>
          <w:sz w:val="24"/>
          <w:szCs w:val="22"/>
        </w:rPr>
        <w:t>4、凡从甲方处获得的保密信息，如乙方发现任何人对其有不当使用的企图，应立即通知甲方，并与甲方充分合作，采取一切必要的措施保障该保密信息的安全。</w:t>
      </w:r>
    </w:p>
    <w:p w14:paraId="0A8C27D7">
      <w:pPr>
        <w:spacing w:line="360" w:lineRule="auto"/>
        <w:ind w:left="29" w:firstLine="446" w:firstLineChars="186"/>
        <w:rPr>
          <w:rFonts w:ascii="宋体" w:hAnsi="宋体"/>
          <w:sz w:val="24"/>
          <w:szCs w:val="22"/>
        </w:rPr>
      </w:pPr>
      <w:r>
        <w:rPr>
          <w:rFonts w:hint="eastAsia" w:ascii="宋体" w:hAnsi="宋体"/>
          <w:sz w:val="24"/>
          <w:szCs w:val="22"/>
        </w:rPr>
        <w:t>5、当甲方提出保密信息返还的要求时，乙方应立即将从甲方处获得的保密信息永久性销毁，或将其立即以书面或其它形式返还给甲方。应销毁删除的保密信息包括保存在一切电子或电磁设备上的信息，应返还的保密信息包括复印件、笔记、总结或其它衍生品。</w:t>
      </w:r>
    </w:p>
    <w:p w14:paraId="3DE11216">
      <w:pPr>
        <w:spacing w:line="360" w:lineRule="auto"/>
        <w:ind w:left="29" w:firstLine="448" w:firstLineChars="186"/>
        <w:rPr>
          <w:rFonts w:ascii="宋体" w:hAnsi="宋体"/>
          <w:b/>
          <w:sz w:val="24"/>
          <w:szCs w:val="22"/>
        </w:rPr>
      </w:pPr>
      <w:r>
        <w:rPr>
          <w:rFonts w:hint="eastAsia" w:ascii="宋体" w:hAnsi="宋体"/>
          <w:b/>
          <w:sz w:val="24"/>
          <w:szCs w:val="22"/>
        </w:rPr>
        <w:t>第三条  效力和权利归属</w:t>
      </w:r>
    </w:p>
    <w:p w14:paraId="7E7FAB8F">
      <w:pPr>
        <w:spacing w:line="360" w:lineRule="auto"/>
        <w:ind w:left="29" w:firstLine="446" w:firstLineChars="186"/>
        <w:rPr>
          <w:rFonts w:ascii="宋体" w:hAnsi="宋体"/>
          <w:sz w:val="24"/>
          <w:szCs w:val="22"/>
        </w:rPr>
      </w:pPr>
      <w:r>
        <w:rPr>
          <w:rFonts w:hint="eastAsia" w:ascii="宋体" w:hAnsi="宋体"/>
          <w:sz w:val="24"/>
          <w:szCs w:val="22"/>
        </w:rPr>
        <w:t>1、本协议书签署后，不论双方是否在任何项目上继续合作，或是否签署其它任何合约或协议，均不影响本协议书的效力。</w:t>
      </w:r>
    </w:p>
    <w:p w14:paraId="02E5776D">
      <w:pPr>
        <w:spacing w:line="360" w:lineRule="auto"/>
        <w:ind w:left="29" w:firstLine="446" w:firstLineChars="186"/>
        <w:rPr>
          <w:rFonts w:ascii="宋体" w:hAnsi="宋体"/>
          <w:sz w:val="24"/>
          <w:szCs w:val="22"/>
        </w:rPr>
      </w:pPr>
      <w:r>
        <w:rPr>
          <w:rFonts w:hint="eastAsia" w:ascii="宋体" w:hAnsi="宋体"/>
          <w:sz w:val="24"/>
          <w:szCs w:val="22"/>
        </w:rPr>
        <w:t>2、本协议书的效力不因甲乙双方业务关系的解除、终止、撤销、无效而改变。</w:t>
      </w:r>
    </w:p>
    <w:p w14:paraId="3823486C">
      <w:pPr>
        <w:spacing w:line="360" w:lineRule="auto"/>
        <w:ind w:firstLine="480" w:firstLineChars="200"/>
        <w:rPr>
          <w:rFonts w:ascii="宋体" w:hAnsi="宋体"/>
          <w:sz w:val="24"/>
          <w:szCs w:val="22"/>
        </w:rPr>
      </w:pPr>
      <w:r>
        <w:rPr>
          <w:rFonts w:hint="eastAsia" w:ascii="宋体" w:hAnsi="宋体"/>
          <w:sz w:val="24"/>
          <w:szCs w:val="22"/>
        </w:rPr>
        <w:t>3、甲方向乙方揭露或提供的保密信息，其专利权仍归甲方所有，并不因为本协议书的签署而成为乙方所有。乙方亦不因为本协议书的签署，而取得该保密信息的任何法律上的权利。</w:t>
      </w:r>
    </w:p>
    <w:p w14:paraId="3C9E1713">
      <w:pPr>
        <w:spacing w:line="360" w:lineRule="auto"/>
        <w:ind w:left="29" w:firstLine="482" w:firstLineChars="200"/>
        <w:rPr>
          <w:rFonts w:ascii="宋体" w:hAnsi="宋体"/>
          <w:b/>
          <w:sz w:val="24"/>
          <w:szCs w:val="22"/>
        </w:rPr>
      </w:pPr>
      <w:r>
        <w:rPr>
          <w:rFonts w:hint="eastAsia" w:ascii="宋体" w:hAnsi="宋体"/>
          <w:b/>
          <w:sz w:val="24"/>
          <w:szCs w:val="22"/>
        </w:rPr>
        <w:t>第四条  其它约定</w:t>
      </w:r>
    </w:p>
    <w:p w14:paraId="17E81B75">
      <w:pPr>
        <w:spacing w:line="360" w:lineRule="auto"/>
        <w:ind w:left="29" w:firstLine="446" w:firstLineChars="186"/>
        <w:rPr>
          <w:rFonts w:ascii="宋体" w:hAnsi="宋体"/>
          <w:sz w:val="24"/>
          <w:szCs w:val="22"/>
        </w:rPr>
      </w:pPr>
      <w:r>
        <w:rPr>
          <w:rFonts w:hint="eastAsia" w:ascii="宋体" w:hAnsi="宋体"/>
          <w:sz w:val="24"/>
          <w:szCs w:val="22"/>
        </w:rPr>
        <w:t>1、甲方不因本协议书的签署，而负有揭露或提供任何特定保密信息给乙方的义务，亦不确保任何提供给乙方信息的完整性、正确性或合目的性。</w:t>
      </w:r>
    </w:p>
    <w:p w14:paraId="3E720C07">
      <w:pPr>
        <w:spacing w:line="360" w:lineRule="auto"/>
        <w:ind w:left="29" w:firstLine="446" w:firstLineChars="186"/>
        <w:rPr>
          <w:rFonts w:ascii="宋体" w:hAnsi="宋体"/>
          <w:sz w:val="24"/>
          <w:szCs w:val="22"/>
        </w:rPr>
      </w:pPr>
      <w:r>
        <w:rPr>
          <w:rFonts w:hint="eastAsia" w:ascii="宋体" w:hAnsi="宋体"/>
          <w:sz w:val="24"/>
          <w:szCs w:val="22"/>
        </w:rPr>
        <w:t>2、当本协议书中的任何条款与法律法规相抵触时，其抵触部分被视为无效，但不影响本协议书的其它部分的有效性。</w:t>
      </w:r>
    </w:p>
    <w:p w14:paraId="38444F0C">
      <w:pPr>
        <w:spacing w:line="360" w:lineRule="auto"/>
        <w:ind w:left="29" w:firstLine="446" w:firstLineChars="186"/>
        <w:rPr>
          <w:rFonts w:ascii="宋体" w:hAnsi="宋体"/>
          <w:sz w:val="24"/>
          <w:szCs w:val="22"/>
        </w:rPr>
      </w:pPr>
      <w:r>
        <w:rPr>
          <w:rFonts w:hint="eastAsia" w:ascii="宋体" w:hAnsi="宋体"/>
          <w:sz w:val="24"/>
          <w:szCs w:val="22"/>
        </w:rPr>
        <w:t>3、甲乙双方不因本协议书的签署而具有合伙、雇佣或相互代理的关系。</w:t>
      </w:r>
    </w:p>
    <w:p w14:paraId="2F99456B">
      <w:pPr>
        <w:spacing w:line="360" w:lineRule="auto"/>
        <w:ind w:left="29" w:firstLine="446" w:firstLineChars="186"/>
        <w:rPr>
          <w:rFonts w:ascii="宋体" w:hAnsi="宋体"/>
          <w:sz w:val="24"/>
          <w:szCs w:val="22"/>
        </w:rPr>
      </w:pPr>
      <w:r>
        <w:rPr>
          <w:rFonts w:hint="eastAsia" w:ascii="宋体" w:hAnsi="宋体"/>
          <w:sz w:val="24"/>
          <w:szCs w:val="22"/>
        </w:rPr>
        <w:t>4、对本协议书指定的权利义务的免除、限制、转让、增删、修正或修改，应由甲乙双方合法授权的代表通过签署书面协议确定。非经另一方书面同意，任一方不得转让本协议书项下的权利和义务。</w:t>
      </w:r>
    </w:p>
    <w:p w14:paraId="2608ED58">
      <w:pPr>
        <w:spacing w:line="360" w:lineRule="auto"/>
        <w:ind w:left="29" w:firstLine="446" w:firstLineChars="186"/>
        <w:rPr>
          <w:rFonts w:ascii="宋体" w:hAnsi="宋体"/>
          <w:sz w:val="24"/>
          <w:szCs w:val="22"/>
        </w:rPr>
      </w:pPr>
      <w:r>
        <w:rPr>
          <w:rFonts w:hint="eastAsia" w:ascii="宋体" w:hAnsi="宋体"/>
          <w:sz w:val="24"/>
          <w:szCs w:val="22"/>
        </w:rPr>
        <w:t>5、本协议项下的保密义务于协议书签署之日起5 年内有效。</w:t>
      </w:r>
    </w:p>
    <w:p w14:paraId="3F8609C8">
      <w:pPr>
        <w:spacing w:line="360" w:lineRule="auto"/>
        <w:ind w:left="29" w:firstLine="446" w:firstLineChars="186"/>
        <w:rPr>
          <w:rFonts w:ascii="宋体" w:hAnsi="宋体"/>
          <w:sz w:val="24"/>
          <w:szCs w:val="22"/>
        </w:rPr>
      </w:pPr>
      <w:r>
        <w:rPr>
          <w:rFonts w:hint="eastAsia" w:ascii="宋体" w:hAnsi="宋体"/>
          <w:sz w:val="24"/>
          <w:szCs w:val="22"/>
        </w:rPr>
        <w:t>6、乙方在本协议项下的义务对其法定继承人和许可受让人均有约束力。</w:t>
      </w:r>
    </w:p>
    <w:p w14:paraId="14321C12">
      <w:pPr>
        <w:spacing w:line="360" w:lineRule="auto"/>
        <w:ind w:left="29" w:firstLine="446" w:firstLineChars="186"/>
        <w:rPr>
          <w:rFonts w:ascii="宋体" w:hAnsi="宋体"/>
          <w:sz w:val="24"/>
          <w:szCs w:val="22"/>
        </w:rPr>
      </w:pPr>
      <w:r>
        <w:rPr>
          <w:rFonts w:hint="eastAsia" w:ascii="宋体" w:hAnsi="宋体"/>
          <w:sz w:val="24"/>
          <w:szCs w:val="22"/>
        </w:rPr>
        <w:t>7、如果乙方违反本协议项下的保密义务，乙方需向甲方支付违约金人民币100万元整，并赔偿甲方由于乙方的泄密行为而对甲方、甲方合作厂商或甲方客户造成的经济和技术损失以及甲方因执行本协议书的权利而发生的任何费用。</w:t>
      </w:r>
    </w:p>
    <w:p w14:paraId="616B8CEB">
      <w:pPr>
        <w:spacing w:line="360" w:lineRule="auto"/>
        <w:ind w:left="29" w:firstLine="446" w:firstLineChars="186"/>
        <w:rPr>
          <w:rFonts w:ascii="宋体" w:hAnsi="宋体"/>
          <w:sz w:val="24"/>
          <w:szCs w:val="22"/>
        </w:rPr>
      </w:pPr>
      <w:r>
        <w:rPr>
          <w:rFonts w:hint="eastAsia" w:ascii="宋体" w:hAnsi="宋体"/>
          <w:sz w:val="24"/>
          <w:szCs w:val="22"/>
        </w:rPr>
        <w:t>8、本协议书如有未尽事宜，应按照甲方所在地的相关法律法规进行补充。双方因本协议书履行或解释而产生的或与之有关的任何争议，由双方协商解决，如协商不成，双方同意将该争议提交至甲方所在地人民法院依法处理。</w:t>
      </w:r>
    </w:p>
    <w:p w14:paraId="7609FDEB">
      <w:pPr>
        <w:spacing w:line="360" w:lineRule="auto"/>
        <w:ind w:left="29" w:firstLine="482" w:firstLineChars="200"/>
        <w:rPr>
          <w:rFonts w:ascii="宋体" w:hAnsi="宋体"/>
          <w:b/>
          <w:sz w:val="24"/>
          <w:szCs w:val="22"/>
        </w:rPr>
      </w:pPr>
      <w:r>
        <w:rPr>
          <w:rFonts w:hint="eastAsia" w:ascii="宋体" w:hAnsi="宋体"/>
          <w:b/>
          <w:sz w:val="24"/>
          <w:szCs w:val="22"/>
        </w:rPr>
        <w:t>第五条  附则</w:t>
      </w:r>
    </w:p>
    <w:p w14:paraId="0B906957">
      <w:pPr>
        <w:spacing w:line="360" w:lineRule="auto"/>
        <w:ind w:left="29" w:firstLine="446" w:firstLineChars="186"/>
        <w:rPr>
          <w:rFonts w:ascii="宋体" w:hAnsi="宋体"/>
          <w:sz w:val="24"/>
          <w:szCs w:val="22"/>
        </w:rPr>
      </w:pPr>
      <w:r>
        <w:rPr>
          <w:rFonts w:hint="eastAsia" w:ascii="宋体" w:hAnsi="宋体"/>
          <w:sz w:val="24"/>
          <w:szCs w:val="22"/>
        </w:rPr>
        <w:t>1、本合同壹式陆份，具有同等法律效力，甲方执</w:t>
      </w:r>
      <w:r>
        <w:rPr>
          <w:rFonts w:ascii="宋体" w:hAnsi="宋体"/>
          <w:sz w:val="24"/>
          <w:szCs w:val="22"/>
        </w:rPr>
        <w:t>4</w:t>
      </w:r>
      <w:r>
        <w:rPr>
          <w:rFonts w:hint="eastAsia" w:ascii="宋体" w:hAnsi="宋体"/>
          <w:sz w:val="24"/>
          <w:szCs w:val="22"/>
        </w:rPr>
        <w:t>份、乙方执2份，合同自双方加盖公章或合同专用章之日起即时生效。</w:t>
      </w:r>
    </w:p>
    <w:p w14:paraId="4CB2C492">
      <w:pPr>
        <w:spacing w:line="360" w:lineRule="auto"/>
        <w:ind w:left="29" w:firstLine="446" w:firstLineChars="186"/>
        <w:rPr>
          <w:rFonts w:ascii="宋体" w:hAnsi="宋体"/>
          <w:sz w:val="24"/>
          <w:szCs w:val="22"/>
        </w:rPr>
      </w:pPr>
    </w:p>
    <w:p w14:paraId="012BEEA8">
      <w:pPr>
        <w:spacing w:line="360" w:lineRule="auto"/>
        <w:rPr>
          <w:b/>
          <w:sz w:val="24"/>
        </w:rPr>
      </w:pPr>
      <w:r>
        <w:rPr>
          <w:rFonts w:hint="eastAsia"/>
          <w:b/>
          <w:sz w:val="24"/>
        </w:rPr>
        <w:t>甲方：广东省广播电视网络股份有限公司汕尾分公司</w:t>
      </w:r>
    </w:p>
    <w:p w14:paraId="0D6F5FCD">
      <w:pPr>
        <w:spacing w:line="360" w:lineRule="auto"/>
        <w:rPr>
          <w:b/>
          <w:sz w:val="24"/>
        </w:rPr>
      </w:pPr>
      <w:r>
        <w:rPr>
          <w:rFonts w:hint="eastAsia"/>
          <w:b/>
          <w:sz w:val="24"/>
        </w:rPr>
        <w:t xml:space="preserve">代表人：                                     </w:t>
      </w:r>
    </w:p>
    <w:p w14:paraId="04BAFADE">
      <w:pPr>
        <w:spacing w:line="360" w:lineRule="auto"/>
        <w:rPr>
          <w:b/>
          <w:sz w:val="24"/>
        </w:rPr>
      </w:pPr>
      <w:r>
        <w:rPr>
          <w:rFonts w:hint="eastAsia"/>
          <w:b/>
          <w:sz w:val="24"/>
        </w:rPr>
        <w:t>签署日期：   年    月    日</w:t>
      </w:r>
    </w:p>
    <w:p w14:paraId="1436C8E4">
      <w:pPr>
        <w:spacing w:after="120"/>
        <w:ind w:left="420" w:leftChars="200" w:firstLine="420" w:firstLineChars="200"/>
      </w:pPr>
    </w:p>
    <w:p w14:paraId="14C5916F">
      <w:pPr>
        <w:spacing w:line="360" w:lineRule="auto"/>
        <w:rPr>
          <w:b/>
          <w:sz w:val="24"/>
        </w:rPr>
      </w:pPr>
      <w:r>
        <w:rPr>
          <w:rFonts w:hint="eastAsia"/>
          <w:b/>
          <w:sz w:val="24"/>
        </w:rPr>
        <w:t>乙方：</w:t>
      </w:r>
    </w:p>
    <w:p w14:paraId="7A690CCD">
      <w:pPr>
        <w:spacing w:after="120"/>
        <w:ind w:left="420" w:leftChars="200" w:firstLine="422" w:firstLineChars="200"/>
        <w:rPr>
          <w:b/>
        </w:rPr>
      </w:pPr>
    </w:p>
    <w:p w14:paraId="2B1D02E2">
      <w:pPr>
        <w:spacing w:line="360" w:lineRule="auto"/>
        <w:rPr>
          <w:b/>
          <w:sz w:val="24"/>
        </w:rPr>
      </w:pPr>
      <w:r>
        <w:rPr>
          <w:rFonts w:hint="eastAsia"/>
          <w:b/>
          <w:sz w:val="24"/>
        </w:rPr>
        <w:t xml:space="preserve">代表人：                                     </w:t>
      </w:r>
    </w:p>
    <w:p w14:paraId="13045146">
      <w:pPr>
        <w:spacing w:line="360" w:lineRule="auto"/>
        <w:rPr>
          <w:b/>
          <w:sz w:val="24"/>
        </w:rPr>
      </w:pPr>
      <w:r>
        <w:rPr>
          <w:rFonts w:hint="eastAsia"/>
          <w:b/>
          <w:sz w:val="24"/>
        </w:rPr>
        <w:t>签署日期：   年    月    日</w:t>
      </w:r>
    </w:p>
    <w:p w14:paraId="50AFCAD1">
      <w:pPr>
        <w:spacing w:line="360" w:lineRule="auto"/>
        <w:ind w:left="29" w:firstLine="446" w:firstLineChars="186"/>
        <w:rPr>
          <w:rFonts w:ascii="宋体" w:hAnsi="宋体"/>
          <w:sz w:val="24"/>
          <w:szCs w:val="22"/>
        </w:rPr>
        <w:sectPr>
          <w:type w:val="continuous"/>
          <w:pgSz w:w="11906" w:h="16838"/>
          <w:pgMar w:top="1440" w:right="1080" w:bottom="1440" w:left="1080" w:header="851" w:footer="992" w:gutter="0"/>
          <w:cols w:space="720" w:num="1"/>
          <w:docGrid w:type="lines" w:linePitch="312" w:charSpace="0"/>
        </w:sectPr>
      </w:pPr>
    </w:p>
    <w:p w14:paraId="050B23B7">
      <w:pPr>
        <w:spacing w:before="240" w:beforeLines="100" w:after="120" w:afterLines="50" w:line="360" w:lineRule="auto"/>
        <w:jc w:val="center"/>
        <w:outlineLvl w:val="0"/>
        <w:rPr>
          <w:rFonts w:ascii="宋体" w:hAnsi="宋体"/>
          <w:b/>
          <w:color w:val="000000"/>
          <w:sz w:val="36"/>
          <w:szCs w:val="36"/>
          <w:lang w:val="zh-CN"/>
        </w:rPr>
      </w:pPr>
      <w:bookmarkStart w:id="70" w:name="_Toc91236017"/>
      <w:r>
        <w:rPr>
          <w:rFonts w:hint="eastAsia" w:ascii="宋体" w:hAnsi="宋体"/>
          <w:b/>
          <w:color w:val="000000"/>
          <w:sz w:val="36"/>
          <w:szCs w:val="36"/>
          <w:lang w:val="zh-CN"/>
        </w:rPr>
        <w:t>第四部分 报价清单</w:t>
      </w:r>
      <w:bookmarkEnd w:id="70"/>
    </w:p>
    <w:bookmarkEnd w:id="27"/>
    <w:p w14:paraId="1765D4B6">
      <w:pPr>
        <w:widowControl/>
        <w:adjustRightInd w:val="0"/>
        <w:snapToGrid w:val="0"/>
        <w:spacing w:line="480" w:lineRule="auto"/>
        <w:jc w:val="left"/>
        <w:rPr>
          <w:rFonts w:ascii="宋体" w:hAnsi="宋体" w:cs="宋体"/>
          <w:b/>
          <w:color w:val="000000"/>
          <w:sz w:val="24"/>
          <w:u w:val="single"/>
        </w:rPr>
      </w:pPr>
      <w:r>
        <w:rPr>
          <w:rFonts w:hint="eastAsia" w:ascii="宋体" w:hAnsi="宋体" w:cs="宋体"/>
          <w:b/>
          <w:color w:val="000000"/>
          <w:sz w:val="24"/>
        </w:rPr>
        <w:t>采购项目编号：04-06-04H-2025-D-E11740</w:t>
      </w:r>
    </w:p>
    <w:p w14:paraId="389E0A8E">
      <w:pPr>
        <w:widowControl/>
        <w:adjustRightInd w:val="0"/>
        <w:snapToGrid w:val="0"/>
        <w:spacing w:line="480" w:lineRule="auto"/>
        <w:jc w:val="left"/>
        <w:rPr>
          <w:rFonts w:ascii="宋体" w:hAnsi="宋体" w:cs="宋体"/>
          <w:b/>
          <w:color w:val="000000"/>
          <w:sz w:val="24"/>
        </w:rPr>
      </w:pPr>
      <w:r>
        <w:rPr>
          <w:rFonts w:hint="eastAsia" w:ascii="宋体" w:hAnsi="宋体" w:cs="宋体"/>
          <w:b/>
          <w:color w:val="000000"/>
          <w:sz w:val="24"/>
        </w:rPr>
        <w:t>项目名称：陆丰分公司数字电视平台统一项目（软件）</w:t>
      </w:r>
    </w:p>
    <w:p w14:paraId="2207CB85">
      <w:pPr>
        <w:widowControl/>
        <w:spacing w:line="276" w:lineRule="auto"/>
        <w:textAlignment w:val="center"/>
        <w:rPr>
          <w:rFonts w:ascii="宋体" w:hAnsi="宋体" w:cs="宋体"/>
          <w:color w:val="000000"/>
          <w:sz w:val="24"/>
        </w:rPr>
      </w:pPr>
    </w:p>
    <w:tbl>
      <w:tblPr>
        <w:tblStyle w:val="54"/>
        <w:tblW w:w="3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450"/>
        <w:gridCol w:w="3053"/>
      </w:tblGrid>
      <w:tr w14:paraId="3046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72" w:type="pct"/>
            <w:vAlign w:val="center"/>
          </w:tcPr>
          <w:p w14:paraId="2017704E">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产品名称</w:t>
            </w:r>
          </w:p>
        </w:tc>
        <w:tc>
          <w:tcPr>
            <w:tcW w:w="943" w:type="pct"/>
            <w:vAlign w:val="center"/>
          </w:tcPr>
          <w:p w14:paraId="3E3C22A6">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税率</w:t>
            </w:r>
          </w:p>
        </w:tc>
        <w:tc>
          <w:tcPr>
            <w:tcW w:w="1985" w:type="pct"/>
            <w:vAlign w:val="center"/>
          </w:tcPr>
          <w:p w14:paraId="240A0AA1">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统一下浮率</w:t>
            </w:r>
          </w:p>
        </w:tc>
      </w:tr>
      <w:tr w14:paraId="4CE6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072" w:type="pct"/>
            <w:vAlign w:val="center"/>
          </w:tcPr>
          <w:p w14:paraId="1E4A26D0">
            <w:pPr>
              <w:jc w:val="center"/>
              <w:rPr>
                <w:rFonts w:cs="宋体" w:asciiTheme="minorEastAsia" w:hAnsiTheme="minorEastAsia" w:eastAsiaTheme="minorEastAsia"/>
                <w:szCs w:val="21"/>
              </w:rPr>
            </w:pPr>
            <w:r>
              <w:rPr>
                <w:rFonts w:hint="eastAsia" w:ascii="宋体" w:hAnsi="宋体"/>
                <w:kern w:val="0"/>
                <w:szCs w:val="21"/>
              </w:rPr>
              <w:t>陆丰分公司数字电视平台统一项目（软件）</w:t>
            </w:r>
          </w:p>
        </w:tc>
        <w:tc>
          <w:tcPr>
            <w:tcW w:w="943" w:type="pct"/>
            <w:vAlign w:val="center"/>
          </w:tcPr>
          <w:p w14:paraId="1DBFBE93">
            <w:pPr>
              <w:jc w:val="center"/>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tc>
        <w:tc>
          <w:tcPr>
            <w:tcW w:w="1985" w:type="pct"/>
            <w:vAlign w:val="center"/>
          </w:tcPr>
          <w:p w14:paraId="5FFECC0A">
            <w:pPr>
              <w:jc w:val="center"/>
              <w:rPr>
                <w:rFonts w:cs="宋体" w:asciiTheme="minorEastAsia" w:hAnsiTheme="minorEastAsia" w:eastAsiaTheme="minorEastAsia"/>
                <w:szCs w:val="21"/>
              </w:rPr>
            </w:pP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tc>
      </w:tr>
    </w:tbl>
    <w:p w14:paraId="451ABC3E">
      <w:pPr>
        <w:widowControl/>
        <w:spacing w:line="276" w:lineRule="auto"/>
        <w:textAlignment w:val="center"/>
        <w:rPr>
          <w:rFonts w:ascii="宋体" w:hAnsi="宋体" w:cs="宋体"/>
          <w:b/>
          <w:bCs/>
          <w:color w:val="000000"/>
          <w:sz w:val="24"/>
        </w:rPr>
      </w:pPr>
    </w:p>
    <w:p w14:paraId="2DB47635">
      <w:pPr>
        <w:widowControl/>
        <w:spacing w:line="360" w:lineRule="auto"/>
        <w:textAlignment w:val="center"/>
        <w:rPr>
          <w:rFonts w:ascii="宋体" w:hAnsi="宋体" w:cs="宋体"/>
          <w:color w:val="000000"/>
          <w:sz w:val="24"/>
        </w:rPr>
      </w:pPr>
      <w:r>
        <w:rPr>
          <w:rFonts w:hint="eastAsia" w:ascii="宋体" w:hAnsi="宋体" w:cs="宋体"/>
          <w:color w:val="000000"/>
          <w:sz w:val="24"/>
        </w:rPr>
        <w:t>备注：</w:t>
      </w:r>
      <w:r>
        <w:rPr>
          <w:rFonts w:ascii="宋体" w:hAnsi="宋体" w:cs="宋体"/>
          <w:color w:val="000000"/>
          <w:sz w:val="24"/>
        </w:rPr>
        <w:t xml:space="preserve"> </w:t>
      </w:r>
    </w:p>
    <w:p w14:paraId="7F27A75E">
      <w:pPr>
        <w:widowControl/>
        <w:spacing w:line="360" w:lineRule="auto"/>
        <w:ind w:firstLine="480" w:firstLineChars="200"/>
        <w:textAlignment w:val="center"/>
        <w:rPr>
          <w:rFonts w:ascii="宋体" w:hAnsi="宋体" w:cs="宋体"/>
          <w:color w:val="000000"/>
          <w:sz w:val="24"/>
        </w:rPr>
      </w:pPr>
      <w:r>
        <w:rPr>
          <w:rFonts w:hint="eastAsia" w:ascii="宋体" w:hAnsi="宋体" w:cs="宋体"/>
          <w:color w:val="000000"/>
          <w:sz w:val="24"/>
        </w:rPr>
        <w:t>1、含税结算价=</w:t>
      </w:r>
      <w:r>
        <w:rPr>
          <w:rFonts w:hint="eastAsia"/>
        </w:rPr>
        <w:t xml:space="preserve"> </w:t>
      </w:r>
      <w:r>
        <w:rPr>
          <w:rFonts w:hint="eastAsia" w:ascii="宋体" w:hAnsi="宋体" w:cs="宋体"/>
          <w:color w:val="000000"/>
          <w:sz w:val="24"/>
        </w:rPr>
        <w:t>3.</w:t>
      </w:r>
      <w:r>
        <w:rPr>
          <w:rFonts w:hint="eastAsia" w:ascii="宋体" w:hAnsi="宋体" w:cs="宋体"/>
          <w:color w:val="000000"/>
          <w:sz w:val="24"/>
        </w:rPr>
        <w:tab/>
      </w:r>
      <w:r>
        <w:rPr>
          <w:rFonts w:hint="eastAsia" w:ascii="宋体" w:hAnsi="宋体" w:cs="宋体"/>
          <w:color w:val="000000"/>
          <w:sz w:val="24"/>
        </w:rPr>
        <w:t>项目最高限价*（1-下浮率%）。详见第一部分 竞价邀请函 六、竞价规则。</w:t>
      </w:r>
    </w:p>
    <w:p w14:paraId="2F4CB25E">
      <w:pPr>
        <w:widowControl/>
        <w:adjustRightInd w:val="0"/>
        <w:snapToGrid w:val="0"/>
        <w:spacing w:line="360" w:lineRule="auto"/>
        <w:jc w:val="left"/>
        <w:rPr>
          <w:rFonts w:ascii="宋体" w:hAnsi="宋体" w:cs="宋体"/>
          <w:b/>
          <w:color w:val="000000"/>
          <w:sz w:val="24"/>
        </w:rPr>
      </w:pPr>
    </w:p>
    <w:p w14:paraId="2C63854F">
      <w:pPr>
        <w:widowControl/>
        <w:adjustRightInd w:val="0"/>
        <w:snapToGrid w:val="0"/>
        <w:spacing w:line="360" w:lineRule="auto"/>
        <w:jc w:val="left"/>
        <w:rPr>
          <w:rFonts w:ascii="宋体" w:hAnsi="宋体" w:cs="宋体"/>
          <w:b/>
          <w:color w:val="000000"/>
          <w:sz w:val="24"/>
        </w:rPr>
      </w:pPr>
    </w:p>
    <w:p w14:paraId="00FDF448">
      <w:pPr>
        <w:spacing w:line="360" w:lineRule="auto"/>
        <w:jc w:val="right"/>
        <w:rPr>
          <w:rFonts w:ascii="宋体" w:hAnsi="宋体"/>
          <w:bCs/>
          <w:color w:val="000000"/>
          <w:kern w:val="0"/>
          <w:sz w:val="24"/>
        </w:rPr>
      </w:pPr>
      <w:r>
        <w:rPr>
          <w:rFonts w:hint="eastAsia" w:ascii="宋体" w:hAnsi="宋体"/>
          <w:bCs/>
          <w:color w:val="000000"/>
          <w:kern w:val="0"/>
          <w:sz w:val="24"/>
        </w:rPr>
        <w:t>竞价人名称：______________________________（盖单位章）</w:t>
      </w:r>
    </w:p>
    <w:p w14:paraId="299113B2">
      <w:pPr>
        <w:spacing w:line="360" w:lineRule="auto"/>
        <w:jc w:val="right"/>
        <w:rPr>
          <w:rFonts w:ascii="宋体" w:hAnsi="宋体"/>
          <w:bCs/>
          <w:color w:val="000000"/>
          <w:kern w:val="0"/>
          <w:sz w:val="24"/>
        </w:rPr>
      </w:pPr>
    </w:p>
    <w:p w14:paraId="3DAD6D94">
      <w:pPr>
        <w:spacing w:line="360" w:lineRule="auto"/>
        <w:jc w:val="right"/>
        <w:rPr>
          <w:rFonts w:ascii="宋体" w:hAnsi="宋体"/>
          <w:bCs/>
          <w:color w:val="000000"/>
          <w:kern w:val="0"/>
          <w:sz w:val="24"/>
        </w:rPr>
      </w:pPr>
      <w:r>
        <w:rPr>
          <w:rFonts w:hint="eastAsia" w:ascii="宋体" w:hAnsi="宋体"/>
          <w:bCs/>
          <w:color w:val="000000"/>
          <w:kern w:val="0"/>
          <w:sz w:val="24"/>
        </w:rPr>
        <w:t>日期：       年    月    日</w:t>
      </w:r>
    </w:p>
    <w:p w14:paraId="4151AAE8">
      <w:pPr>
        <w:spacing w:line="360" w:lineRule="auto"/>
        <w:jc w:val="center"/>
        <w:rPr>
          <w:rFonts w:ascii="宋体" w:hAnsi="宋体"/>
          <w:bCs/>
          <w:color w:val="000000"/>
          <w:kern w:val="0"/>
          <w:sz w:val="24"/>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134" w:bottom="1440" w:left="1134"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MS UI 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
    <w:altName w:val="宋体"/>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514969"/>
    </w:sdtPr>
    <w:sdtContent>
      <w:p w14:paraId="1FD24D99">
        <w:pPr>
          <w:pStyle w:val="32"/>
          <w:jc w:val="center"/>
        </w:pPr>
        <w:r>
          <w:fldChar w:fldCharType="begin"/>
        </w:r>
        <w:r>
          <w:instrText xml:space="preserve">PAGE   \* MERGEFORMAT</w:instrText>
        </w:r>
        <w:r>
          <w:fldChar w:fldCharType="separate"/>
        </w:r>
        <w:r>
          <w:rPr>
            <w:lang w:val="zh-CN"/>
          </w:rPr>
          <w:t>2</w:t>
        </w:r>
        <w:r>
          <w:fldChar w:fldCharType="end"/>
        </w:r>
      </w:p>
    </w:sdtContent>
  </w:sdt>
  <w:p w14:paraId="61F79F73">
    <w:pPr>
      <w:pStyle w:val="32"/>
      <w:ind w:right="135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D4657">
    <w:pPr>
      <w:pStyle w:val="32"/>
      <w:framePr w:wrap="around" w:vAnchor="text" w:hAnchor="margin" w:xAlign="right" w:y="1"/>
      <w:rPr>
        <w:rStyle w:val="58"/>
      </w:rPr>
    </w:pPr>
    <w:r>
      <w:fldChar w:fldCharType="begin"/>
    </w:r>
    <w:r>
      <w:rPr>
        <w:rStyle w:val="58"/>
      </w:rPr>
      <w:instrText xml:space="preserve">PAGE  </w:instrText>
    </w:r>
    <w:r>
      <w:fldChar w:fldCharType="end"/>
    </w:r>
  </w:p>
  <w:p w14:paraId="219026D0">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9062">
    <w:pPr>
      <w:pStyle w:val="32"/>
      <w:jc w:val="center"/>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777D3434">
        <w:pPr>
          <w:pStyle w:val="32"/>
          <w:jc w:val="center"/>
        </w:pPr>
        <w:r>
          <w:fldChar w:fldCharType="begin"/>
        </w:r>
        <w:r>
          <w:instrText xml:space="preserve">PAGE   \* MERGEFORMAT</w:instrText>
        </w:r>
        <w:r>
          <w:fldChar w:fldCharType="separate"/>
        </w:r>
        <w:r>
          <w:rPr>
            <w:lang w:val="zh-CN"/>
          </w:rPr>
          <w:t>8</w:t>
        </w:r>
        <w:r>
          <w:fldChar w:fldCharType="end"/>
        </w:r>
      </w:p>
    </w:sdtContent>
  </w:sdt>
  <w:p w14:paraId="1948B863">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089829"/>
    </w:sdtPr>
    <w:sdtEndPr>
      <w:rPr>
        <w:lang w:val="zh-CN"/>
      </w:rPr>
    </w:sdtEndPr>
    <w:sdtContent>
      <w:p w14:paraId="762A8842">
        <w:pPr>
          <w:pStyle w:val="32"/>
          <w:jc w:val="center"/>
        </w:pPr>
        <w:r>
          <w:fldChar w:fldCharType="begin"/>
        </w:r>
        <w:r>
          <w:instrText xml:space="preserve"> PAGE   \* MERGEFORMAT </w:instrText>
        </w:r>
        <w:r>
          <w:fldChar w:fldCharType="separate"/>
        </w:r>
        <w:r>
          <w:rPr>
            <w:lang w:val="zh-CN"/>
          </w:rPr>
          <w:t>18</w:t>
        </w:r>
        <w:r>
          <w:rPr>
            <w:lang w:val="zh-CN"/>
          </w:rPr>
          <w:fldChar w:fldCharType="end"/>
        </w:r>
      </w:p>
    </w:sdtContent>
  </w:sdt>
  <w:p w14:paraId="6667C8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AF7BA">
    <w:pPr>
      <w:pStyle w:val="32"/>
    </w:pPr>
  </w:p>
  <w:p w14:paraId="6E2B792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CEBF">
    <w:pPr>
      <w:pStyle w:val="32"/>
      <w:jc w:val="center"/>
    </w:pPr>
    <w:r>
      <w:rPr>
        <w:rStyle w:val="58"/>
      </w:rPr>
      <w:tab/>
    </w:r>
    <w:r>
      <w:rPr>
        <w:rFonts w:hint="eastAsia" w:ascii="宋体" w:hAnsi="宋体"/>
      </w:rPr>
      <w:t>竞争性磋商</w:t>
    </w:r>
    <w:r>
      <w:rPr>
        <w:rFonts w:ascii="宋体" w:hAnsi="宋体"/>
      </w:rPr>
      <w:t>文件</w:t>
    </w:r>
    <w:r>
      <w:rPr>
        <w:rFonts w:hint="eastAsia" w:ascii="宋体" w:hAnsi="宋体"/>
      </w:rPr>
      <w:t xml:space="preserve">                                                               公诚</w:t>
    </w:r>
    <w:r>
      <w:rPr>
        <w:rFonts w:ascii="宋体" w:hAnsi="宋体"/>
      </w:rPr>
      <w:t>管理</w:t>
    </w:r>
    <w:r>
      <w:rPr>
        <w:rFonts w:hint="eastAsia" w:ascii="宋体" w:hAnsi="宋体"/>
      </w:rPr>
      <w:t>咨询</w:t>
    </w:r>
    <w:r>
      <w:rPr>
        <w:rFonts w:ascii="宋体" w:hAnsi="宋体"/>
      </w:rPr>
      <w:t>有限公司编制</w:t>
    </w:r>
  </w:p>
  <w:p w14:paraId="44547537">
    <w:pPr>
      <w:pStyle w:val="32"/>
      <w:tabs>
        <w:tab w:val="right" w:pos="9151"/>
      </w:tabs>
      <w:jc w:val="center"/>
    </w:pPr>
    <w:r>
      <w:fldChar w:fldCharType="begin"/>
    </w:r>
    <w:r>
      <w:rPr>
        <w:rStyle w:val="58"/>
      </w:rPr>
      <w:instrText xml:space="preserve"> PAGE </w:instrText>
    </w:r>
    <w:r>
      <w:fldChar w:fldCharType="separate"/>
    </w:r>
    <w:r>
      <w:rPr>
        <w:rStyle w:val="58"/>
      </w:rPr>
      <w:t>42</w:t>
    </w:r>
    <w:r>
      <w:fldChar w:fldCharType="end"/>
    </w:r>
  </w:p>
  <w:p w14:paraId="3062D22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6A719">
    <w:pPr>
      <w:pStyle w:val="33"/>
      <w:pBdr>
        <w:bottom w:val="none" w:color="auto" w:sz="0" w:space="0"/>
      </w:pBdr>
      <w:jc w:val="both"/>
      <w:rPr>
        <w:sz w:val="21"/>
        <w:szCs w:val="21"/>
      </w:rPr>
    </w:pPr>
    <w:r>
      <w:rPr>
        <w:rFonts w:hint="eastAsia"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5DC7">
    <w:pPr>
      <w:pStyle w:val="33"/>
      <w:pBdr>
        <w:bottom w:val="none" w:color="auto" w:sz="0" w:space="0"/>
      </w:pBdr>
      <w:jc w:val="left"/>
      <w:rPr>
        <w:rFonts w:ascii="宋体" w:hAnsi="宋体"/>
        <w:kern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9F0A">
    <w:pPr>
      <w:pStyle w:val="33"/>
      <w:pBdr>
        <w:bottom w:val="none" w:color="auto" w:sz="0" w:space="0"/>
      </w:pBdr>
      <w:jc w:val="left"/>
      <w:rPr>
        <w:rFonts w:ascii="宋体" w:hAnsi="宋体"/>
        <w:kern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0C4E">
    <w:pPr>
      <w:pStyle w:val="3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8B3F">
    <w:pPr>
      <w:tabs>
        <w:tab w:val="left" w:pos="7380"/>
      </w:tabs>
      <w:spacing w:line="360" w:lineRule="auto"/>
      <w:jc w:val="left"/>
      <w:rPr>
        <w:rFonts w:ascii="宋体" w:hAnsi="宋体"/>
        <w:sz w:val="18"/>
        <w:u w:val="single"/>
      </w:rPr>
    </w:pPr>
  </w:p>
  <w:p w14:paraId="23E6A5E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E907">
    <w:pPr>
      <w:pStyle w:val="33"/>
    </w:pPr>
  </w:p>
  <w:p w14:paraId="79DD85A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A448">
    <w:pPr>
      <w:pStyle w:val="33"/>
      <w:wordWrap w:val="0"/>
      <w:jc w:val="both"/>
      <w:rPr>
        <w:rFonts w:ascii="宋体" w:hAnsi="宋体" w:cs="宋体"/>
        <w:szCs w:val="21"/>
      </w:rPr>
    </w:pPr>
    <w:r>
      <w:rPr>
        <w:rFonts w:hint="eastAsia" w:ascii="宋体" w:hAnsi="宋体" w:cs="宋体"/>
        <w:szCs w:val="21"/>
      </w:rPr>
      <w:t xml:space="preserve">项目名称：恩施机场安检X光机采购项目                                  </w:t>
    </w:r>
    <w:r>
      <w:rPr>
        <w:rFonts w:hint="eastAsia" w:ascii="宋体" w:hAnsi="宋体"/>
        <w:kern w:val="28"/>
      </w:rPr>
      <w:t xml:space="preserve"> 项目编号</w:t>
    </w:r>
    <w:r>
      <w:rPr>
        <w:rFonts w:hint="eastAsia" w:ascii="宋体" w:hAnsi="宋体"/>
        <w:kern w:val="28"/>
        <w:sz w:val="21"/>
        <w:szCs w:val="21"/>
      </w:rPr>
      <w:t>：</w:t>
    </w:r>
    <w:r>
      <w:rPr>
        <w:rFonts w:ascii="宋体" w:hAnsi="宋体" w:cs="宋体"/>
        <w:szCs w:val="21"/>
      </w:rPr>
      <w:t>G044-ZQSH-QT-1710761</w:t>
    </w:r>
  </w:p>
  <w:p w14:paraId="6BC36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720" w:hanging="7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0"/>
    <w:multiLevelType w:val="multilevel"/>
    <w:tmpl w:val="00000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720" w:hanging="7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0"/>
    <w:multiLevelType w:val="multilevel"/>
    <w:tmpl w:val="000000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077921"/>
    <w:multiLevelType w:val="multilevel"/>
    <w:tmpl w:val="02077921"/>
    <w:lvl w:ilvl="0" w:tentative="0">
      <w:start w:val="1"/>
      <w:numFmt w:val="chineseCountingThousand"/>
      <w:lvlText w:val="%1、"/>
      <w:lvlJc w:val="left"/>
      <w:pPr>
        <w:ind w:left="562"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
    <w:nsid w:val="033D6C15"/>
    <w:multiLevelType w:val="multilevel"/>
    <w:tmpl w:val="033D6C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42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3516745"/>
    <w:multiLevelType w:val="multilevel"/>
    <w:tmpl w:val="0351674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038F39A0"/>
    <w:multiLevelType w:val="multilevel"/>
    <w:tmpl w:val="038F39A0"/>
    <w:lvl w:ilvl="0" w:tentative="0">
      <w:start w:val="1"/>
      <w:numFmt w:val="upperLetter"/>
      <w:lvlText w:val="（%1）"/>
      <w:lvlJc w:val="left"/>
      <w:pPr>
        <w:tabs>
          <w:tab w:val="left" w:pos="720"/>
        </w:tabs>
        <w:ind w:left="720" w:hanging="7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A980DAE"/>
    <w:multiLevelType w:val="multilevel"/>
    <w:tmpl w:val="0A980DA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F043313"/>
    <w:multiLevelType w:val="singleLevel"/>
    <w:tmpl w:val="0F043313"/>
    <w:lvl w:ilvl="0" w:tentative="0">
      <w:start w:val="1"/>
      <w:numFmt w:val="decimal"/>
      <w:lvlText w:val="（%1）"/>
      <w:lvlJc w:val="left"/>
      <w:pPr>
        <w:tabs>
          <w:tab w:val="left" w:pos="555"/>
        </w:tabs>
        <w:ind w:left="555" w:hanging="555"/>
      </w:pPr>
      <w:rPr>
        <w:rFonts w:ascii="仿宋_GB2312" w:hAnsi="Times New Roman" w:eastAsia="仿宋_GB2312" w:cs="Times New Roman"/>
        <w:lang w:val="en-US"/>
      </w:rPr>
    </w:lvl>
  </w:abstractNum>
  <w:abstractNum w:abstractNumId="10">
    <w:nsid w:val="0F64116D"/>
    <w:multiLevelType w:val="multilevel"/>
    <w:tmpl w:val="0F64116D"/>
    <w:lvl w:ilvl="0" w:tentative="0">
      <w:start w:val="1"/>
      <w:numFmt w:val="decimal"/>
      <w:lvlText w:val="（%1）"/>
      <w:lvlJc w:val="left"/>
      <w:pPr>
        <w:tabs>
          <w:tab w:val="left" w:pos="720"/>
        </w:tabs>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357F50"/>
    <w:multiLevelType w:val="multilevel"/>
    <w:tmpl w:val="10357F5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1145259B"/>
    <w:multiLevelType w:val="multilevel"/>
    <w:tmpl w:val="1145259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42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163073AF"/>
    <w:multiLevelType w:val="multilevel"/>
    <w:tmpl w:val="163073AF"/>
    <w:lvl w:ilvl="0" w:tentative="0">
      <w:start w:val="1"/>
      <w:numFmt w:val="decimal"/>
      <w:lvlText w:val="%1."/>
      <w:lvlJc w:val="left"/>
      <w:pPr>
        <w:ind w:left="420" w:hanging="420"/>
        <w:textAlignment w:val="baseline"/>
      </w:pPr>
    </w:lvl>
    <w:lvl w:ilvl="1" w:tentative="0">
      <w:start w:val="1"/>
      <w:numFmt w:val="decimal"/>
      <w:lvlText w:val="%1."/>
      <w:lvlJc w:val="left"/>
      <w:pPr>
        <w:ind w:left="1440" w:hanging="360"/>
        <w:textAlignment w:val="baseline"/>
      </w:pPr>
    </w:lvl>
    <w:lvl w:ilvl="2" w:tentative="0">
      <w:start w:val="1"/>
      <w:numFmt w:val="decimal"/>
      <w:lvlText w:val="%1."/>
      <w:lvlJc w:val="left"/>
      <w:pPr>
        <w:ind w:left="2160" w:hanging="360"/>
        <w:textAlignment w:val="baseline"/>
      </w:pPr>
    </w:lvl>
    <w:lvl w:ilvl="3" w:tentative="0">
      <w:start w:val="1"/>
      <w:numFmt w:val="decimal"/>
      <w:lvlText w:val="%1."/>
      <w:lvlJc w:val="left"/>
      <w:pPr>
        <w:ind w:left="2880" w:hanging="360"/>
        <w:textAlignment w:val="baseline"/>
      </w:pPr>
    </w:lvl>
    <w:lvl w:ilvl="4" w:tentative="0">
      <w:start w:val="1"/>
      <w:numFmt w:val="decimal"/>
      <w:lvlText w:val="%1."/>
      <w:lvlJc w:val="left"/>
      <w:pPr>
        <w:ind w:left="3600" w:hanging="360"/>
        <w:textAlignment w:val="baseline"/>
      </w:pPr>
    </w:lvl>
    <w:lvl w:ilvl="5" w:tentative="0">
      <w:start w:val="1"/>
      <w:numFmt w:val="decimal"/>
      <w:lvlText w:val="%1."/>
      <w:lvlJc w:val="left"/>
      <w:pPr>
        <w:ind w:left="4320" w:hanging="360"/>
        <w:textAlignment w:val="baseline"/>
      </w:pPr>
    </w:lvl>
    <w:lvl w:ilvl="6" w:tentative="0">
      <w:start w:val="1"/>
      <w:numFmt w:val="decimal"/>
      <w:lvlText w:val="%1."/>
      <w:lvlJc w:val="left"/>
      <w:pPr>
        <w:ind w:left="5040" w:hanging="360"/>
        <w:textAlignment w:val="baseline"/>
      </w:pPr>
    </w:lvl>
    <w:lvl w:ilvl="7" w:tentative="0">
      <w:start w:val="1"/>
      <w:numFmt w:val="decimal"/>
      <w:lvlText w:val="%1."/>
      <w:lvlJc w:val="left"/>
      <w:pPr>
        <w:ind w:left="5760" w:hanging="360"/>
        <w:textAlignment w:val="baseline"/>
      </w:pPr>
    </w:lvl>
    <w:lvl w:ilvl="8" w:tentative="0">
      <w:start w:val="1"/>
      <w:numFmt w:val="decimal"/>
      <w:lvlText w:val="%1."/>
      <w:lvlJc w:val="left"/>
      <w:pPr>
        <w:ind w:left="6480" w:hanging="360"/>
        <w:textAlignment w:val="baseline"/>
      </w:pPr>
    </w:lvl>
  </w:abstractNum>
  <w:abstractNum w:abstractNumId="14">
    <w:nsid w:val="20C61497"/>
    <w:multiLevelType w:val="multilevel"/>
    <w:tmpl w:val="20C6149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22D05089"/>
    <w:multiLevelType w:val="multilevel"/>
    <w:tmpl w:val="22D05089"/>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decimal"/>
      <w:lvlText w:val="%3."/>
      <w:lvlJc w:val="left"/>
      <w:pPr>
        <w:ind w:left="420"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28434246"/>
    <w:multiLevelType w:val="multilevel"/>
    <w:tmpl w:val="28434246"/>
    <w:lvl w:ilvl="0" w:tentative="0">
      <w:start w:val="1"/>
      <w:numFmt w:val="decimal"/>
      <w:lvlText w:val="%1."/>
      <w:lvlJc w:val="left"/>
      <w:pPr>
        <w:ind w:left="987" w:hanging="420"/>
      </w:pPr>
      <w:rPr>
        <w:b w:val="0"/>
        <w:sz w:val="24"/>
        <w:szCs w:val="24"/>
      </w:rPr>
    </w:lvl>
    <w:lvl w:ilvl="1" w:tentative="0">
      <w:start w:val="1"/>
      <w:numFmt w:val="decimal"/>
      <w:isLgl/>
      <w:lvlText w:val="%2、"/>
      <w:lvlJc w:val="left"/>
      <w:pPr>
        <w:ind w:left="1669" w:hanging="480"/>
      </w:pPr>
      <w:rPr>
        <w:rFonts w:ascii="宋体" w:hAnsi="宋体" w:eastAsia="宋体" w:cs="宋体"/>
      </w:rPr>
    </w:lvl>
    <w:lvl w:ilvl="2" w:tentative="0">
      <w:start w:val="1"/>
      <w:numFmt w:val="decimal"/>
      <w:isLgl/>
      <w:lvlText w:val="%1.%2.%3"/>
      <w:lvlJc w:val="left"/>
      <w:pPr>
        <w:ind w:left="2389" w:hanging="720"/>
      </w:pPr>
      <w:rPr>
        <w:rFonts w:hint="default"/>
      </w:rPr>
    </w:lvl>
    <w:lvl w:ilvl="3" w:tentative="0">
      <w:start w:val="1"/>
      <w:numFmt w:val="decimal"/>
      <w:isLgl/>
      <w:lvlText w:val="%1.%2.%3.%4"/>
      <w:lvlJc w:val="left"/>
      <w:pPr>
        <w:ind w:left="3229" w:hanging="1080"/>
      </w:pPr>
      <w:rPr>
        <w:rFonts w:hint="default"/>
      </w:rPr>
    </w:lvl>
    <w:lvl w:ilvl="4" w:tentative="0">
      <w:start w:val="1"/>
      <w:numFmt w:val="decimal"/>
      <w:isLgl/>
      <w:lvlText w:val="%1.%2.%3.%4.%5"/>
      <w:lvlJc w:val="left"/>
      <w:pPr>
        <w:ind w:left="3709" w:hanging="1080"/>
      </w:pPr>
      <w:rPr>
        <w:rFonts w:hint="default"/>
      </w:rPr>
    </w:lvl>
    <w:lvl w:ilvl="5" w:tentative="0">
      <w:start w:val="1"/>
      <w:numFmt w:val="decimal"/>
      <w:isLgl/>
      <w:lvlText w:val="%1.%2.%3.%4.%5.%6"/>
      <w:lvlJc w:val="left"/>
      <w:pPr>
        <w:ind w:left="4549" w:hanging="1440"/>
      </w:pPr>
      <w:rPr>
        <w:rFonts w:hint="default"/>
      </w:rPr>
    </w:lvl>
    <w:lvl w:ilvl="6" w:tentative="0">
      <w:start w:val="1"/>
      <w:numFmt w:val="decimal"/>
      <w:isLgl/>
      <w:lvlText w:val="%1.%2.%3.%4.%5.%6.%7"/>
      <w:lvlJc w:val="left"/>
      <w:pPr>
        <w:ind w:left="5389" w:hanging="1800"/>
      </w:pPr>
      <w:rPr>
        <w:rFonts w:hint="default"/>
      </w:rPr>
    </w:lvl>
    <w:lvl w:ilvl="7" w:tentative="0">
      <w:start w:val="1"/>
      <w:numFmt w:val="decimal"/>
      <w:isLgl/>
      <w:lvlText w:val="%1.%2.%3.%4.%5.%6.%7.%8"/>
      <w:lvlJc w:val="left"/>
      <w:pPr>
        <w:ind w:left="5869" w:hanging="1800"/>
      </w:pPr>
      <w:rPr>
        <w:rFonts w:hint="default"/>
      </w:rPr>
    </w:lvl>
    <w:lvl w:ilvl="8" w:tentative="0">
      <w:start w:val="1"/>
      <w:numFmt w:val="decimal"/>
      <w:isLgl/>
      <w:lvlText w:val="%1.%2.%3.%4.%5.%6.%7.%8.%9"/>
      <w:lvlJc w:val="left"/>
      <w:pPr>
        <w:ind w:left="6709" w:hanging="2160"/>
      </w:pPr>
      <w:rPr>
        <w:rFonts w:hint="default"/>
      </w:rPr>
    </w:lvl>
  </w:abstractNum>
  <w:abstractNum w:abstractNumId="17">
    <w:nsid w:val="324F400D"/>
    <w:multiLevelType w:val="multilevel"/>
    <w:tmpl w:val="324F400D"/>
    <w:lvl w:ilvl="0" w:tentative="0">
      <w:start w:val="2"/>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BF848DE"/>
    <w:multiLevelType w:val="multilevel"/>
    <w:tmpl w:val="3BF848D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42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3EBD23AA"/>
    <w:multiLevelType w:val="multilevel"/>
    <w:tmpl w:val="3EBD23AA"/>
    <w:lvl w:ilvl="0" w:tentative="0">
      <w:start w:val="1"/>
      <w:numFmt w:val="chineseCountingThousand"/>
      <w:lvlText w:val="(%1)"/>
      <w:lvlJc w:val="left"/>
      <w:pPr>
        <w:ind w:left="420" w:hanging="420"/>
      </w:pPr>
      <w:rPr>
        <w:b/>
        <w:color w:val="auto"/>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21">
    <w:nsid w:val="3F9C10E5"/>
    <w:multiLevelType w:val="multilevel"/>
    <w:tmpl w:val="3F9C10E5"/>
    <w:lvl w:ilvl="0" w:tentative="0">
      <w:start w:val="1"/>
      <w:numFmt w:val="decimal"/>
      <w:lvlText w:val="%1."/>
      <w:lvlJc w:val="left"/>
      <w:pPr>
        <w:ind w:left="420"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430E2644"/>
    <w:multiLevelType w:val="multilevel"/>
    <w:tmpl w:val="430E264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3">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CEA68E4"/>
    <w:multiLevelType w:val="multilevel"/>
    <w:tmpl w:val="4CEA68E4"/>
    <w:lvl w:ilvl="0" w:tentative="0">
      <w:start w:val="1"/>
      <w:numFmt w:val="decimal"/>
      <w:lvlText w:val="%1."/>
      <w:lvlJc w:val="left"/>
      <w:pPr>
        <w:ind w:left="890" w:hanging="420"/>
      </w:pPr>
    </w:lvl>
    <w:lvl w:ilvl="1" w:tentative="0">
      <w:start w:val="1"/>
      <w:numFmt w:val="lowerLetter"/>
      <w:lvlText w:val="%2)"/>
      <w:lvlJc w:val="left"/>
      <w:pPr>
        <w:ind w:left="1310" w:hanging="420"/>
      </w:pPr>
    </w:lvl>
    <w:lvl w:ilvl="2" w:tentative="0">
      <w:start w:val="1"/>
      <w:numFmt w:val="decimal"/>
      <w:lvlText w:val="%3."/>
      <w:lvlJc w:val="left"/>
      <w:pPr>
        <w:ind w:left="42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25">
    <w:nsid w:val="5B494109"/>
    <w:multiLevelType w:val="multilevel"/>
    <w:tmpl w:val="5B4941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0463B91"/>
    <w:multiLevelType w:val="multilevel"/>
    <w:tmpl w:val="60463B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9D315F5"/>
    <w:multiLevelType w:val="multilevel"/>
    <w:tmpl w:val="69D315F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8">
    <w:nsid w:val="7CB216F1"/>
    <w:multiLevelType w:val="multilevel"/>
    <w:tmpl w:val="7CB216F1"/>
    <w:lvl w:ilvl="0" w:tentative="0">
      <w:start w:val="1"/>
      <w:numFmt w:val="chineseCountingThousand"/>
      <w:lvlText w:val="第%1条"/>
      <w:lvlJc w:val="left"/>
      <w:pPr>
        <w:tabs>
          <w:tab w:val="left" w:pos="960"/>
        </w:tabs>
        <w:ind w:left="960" w:hanging="960"/>
      </w:pPr>
      <w:rPr>
        <w:rFonts w:hint="eastAsia"/>
        <w:b/>
        <w:i w:val="0"/>
      </w:rPr>
    </w:lvl>
    <w:lvl w:ilvl="1" w:tentative="0">
      <w:start w:val="1"/>
      <w:numFmt w:val="decimal"/>
      <w:lvlText w:val="（%2）"/>
      <w:lvlJc w:val="left"/>
      <w:pPr>
        <w:tabs>
          <w:tab w:val="left" w:pos="720"/>
        </w:tabs>
        <w:ind w:left="720" w:hanging="720"/>
      </w:pPr>
      <w:rPr>
        <w:rFonts w:hint="default"/>
        <w:lang w:val="en-US"/>
      </w:rPr>
    </w:lvl>
    <w:lvl w:ilvl="2" w:tentative="0">
      <w:start w:val="1"/>
      <w:numFmt w:val="decimal"/>
      <w:lvlText w:val="%3."/>
      <w:lvlJc w:val="left"/>
      <w:pPr>
        <w:ind w:left="3762"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17"/>
  </w:num>
  <w:num w:numId="3">
    <w:abstractNumId w:val="18"/>
  </w:num>
  <w:num w:numId="4">
    <w:abstractNumId w:val="23"/>
  </w:num>
  <w:num w:numId="5">
    <w:abstractNumId w:val="4"/>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num>
  <w:num w:numId="10">
    <w:abstractNumId w:val="20"/>
  </w:num>
  <w:num w:numId="11">
    <w:abstractNumId w:val="8"/>
  </w:num>
  <w:num w:numId="12">
    <w:abstractNumId w:val="6"/>
  </w:num>
  <w:num w:numId="13">
    <w:abstractNumId w:val="27"/>
  </w:num>
  <w:num w:numId="14">
    <w:abstractNumId w:val="22"/>
  </w:num>
  <w:num w:numId="15">
    <w:abstractNumId w:val="28"/>
  </w:num>
  <w:num w:numId="16">
    <w:abstractNumId w:val="12"/>
  </w:num>
  <w:num w:numId="17">
    <w:abstractNumId w:val="15"/>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9"/>
  </w:num>
  <w:num w:numId="23">
    <w:abstractNumId w:val="10"/>
  </w:num>
  <w:num w:numId="24">
    <w:abstractNumId w:val="5"/>
  </w:num>
  <w:num w:numId="25">
    <w:abstractNumId w:val="21"/>
  </w:num>
  <w:num w:numId="26">
    <w:abstractNumId w:val="1"/>
  </w:num>
  <w:num w:numId="27">
    <w:abstractNumId w:val="3"/>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ZmM3YThiZjBkMGE5NzAyMjI1MjU0MWE4ZTIwYjAifQ=="/>
    <w:docVar w:name="KSO_WPS_MARK_KEY" w:val="ed255cc6-c313-41ac-816d-af8b65690b4d"/>
  </w:docVars>
  <w:rsids>
    <w:rsidRoot w:val="0053109A"/>
    <w:rsid w:val="000056DC"/>
    <w:rsid w:val="00010203"/>
    <w:rsid w:val="0001066D"/>
    <w:rsid w:val="00014A1B"/>
    <w:rsid w:val="00024682"/>
    <w:rsid w:val="00024FD9"/>
    <w:rsid w:val="00030A02"/>
    <w:rsid w:val="0003124C"/>
    <w:rsid w:val="00033E31"/>
    <w:rsid w:val="00034ACF"/>
    <w:rsid w:val="00034E0E"/>
    <w:rsid w:val="00036DC1"/>
    <w:rsid w:val="000372B6"/>
    <w:rsid w:val="00040390"/>
    <w:rsid w:val="00040FF5"/>
    <w:rsid w:val="00041823"/>
    <w:rsid w:val="00041FB8"/>
    <w:rsid w:val="00044AD5"/>
    <w:rsid w:val="00045873"/>
    <w:rsid w:val="00052958"/>
    <w:rsid w:val="00053288"/>
    <w:rsid w:val="000577AA"/>
    <w:rsid w:val="00057D75"/>
    <w:rsid w:val="00066E57"/>
    <w:rsid w:val="00067CBA"/>
    <w:rsid w:val="00070B21"/>
    <w:rsid w:val="00073804"/>
    <w:rsid w:val="00073BA9"/>
    <w:rsid w:val="00074DEF"/>
    <w:rsid w:val="000856E3"/>
    <w:rsid w:val="000864B5"/>
    <w:rsid w:val="00092585"/>
    <w:rsid w:val="00093108"/>
    <w:rsid w:val="00093DE6"/>
    <w:rsid w:val="00093E79"/>
    <w:rsid w:val="00093FD6"/>
    <w:rsid w:val="00096AC4"/>
    <w:rsid w:val="000A231F"/>
    <w:rsid w:val="000A5AA6"/>
    <w:rsid w:val="000B35A0"/>
    <w:rsid w:val="000B42B7"/>
    <w:rsid w:val="000B74CE"/>
    <w:rsid w:val="000B7F6B"/>
    <w:rsid w:val="000C1605"/>
    <w:rsid w:val="000C2546"/>
    <w:rsid w:val="000C64AD"/>
    <w:rsid w:val="000C7134"/>
    <w:rsid w:val="000C7C78"/>
    <w:rsid w:val="000D22B9"/>
    <w:rsid w:val="000D5412"/>
    <w:rsid w:val="000D6609"/>
    <w:rsid w:val="000D6687"/>
    <w:rsid w:val="000E23AE"/>
    <w:rsid w:val="000E31CC"/>
    <w:rsid w:val="000E3C93"/>
    <w:rsid w:val="000E63C7"/>
    <w:rsid w:val="000F1270"/>
    <w:rsid w:val="000F57BF"/>
    <w:rsid w:val="000F655C"/>
    <w:rsid w:val="000F6AC7"/>
    <w:rsid w:val="000F7143"/>
    <w:rsid w:val="00102587"/>
    <w:rsid w:val="00104B2E"/>
    <w:rsid w:val="00110682"/>
    <w:rsid w:val="00117377"/>
    <w:rsid w:val="00117B86"/>
    <w:rsid w:val="00117E8D"/>
    <w:rsid w:val="001218C3"/>
    <w:rsid w:val="00125C17"/>
    <w:rsid w:val="00125D45"/>
    <w:rsid w:val="00125D5A"/>
    <w:rsid w:val="00134958"/>
    <w:rsid w:val="00140766"/>
    <w:rsid w:val="00142C74"/>
    <w:rsid w:val="00143BAB"/>
    <w:rsid w:val="001455B1"/>
    <w:rsid w:val="00146634"/>
    <w:rsid w:val="0015119D"/>
    <w:rsid w:val="00153329"/>
    <w:rsid w:val="00156241"/>
    <w:rsid w:val="0016000B"/>
    <w:rsid w:val="0016290B"/>
    <w:rsid w:val="00163F22"/>
    <w:rsid w:val="00164889"/>
    <w:rsid w:val="0017107E"/>
    <w:rsid w:val="0017290E"/>
    <w:rsid w:val="0017384C"/>
    <w:rsid w:val="00174C40"/>
    <w:rsid w:val="0017714C"/>
    <w:rsid w:val="0018241D"/>
    <w:rsid w:val="00183054"/>
    <w:rsid w:val="00183308"/>
    <w:rsid w:val="00183420"/>
    <w:rsid w:val="00183C8E"/>
    <w:rsid w:val="00187332"/>
    <w:rsid w:val="00187569"/>
    <w:rsid w:val="001908BA"/>
    <w:rsid w:val="00190D89"/>
    <w:rsid w:val="00193206"/>
    <w:rsid w:val="001A3DE8"/>
    <w:rsid w:val="001A5048"/>
    <w:rsid w:val="001A7747"/>
    <w:rsid w:val="001B0011"/>
    <w:rsid w:val="001B0662"/>
    <w:rsid w:val="001B2172"/>
    <w:rsid w:val="001B305F"/>
    <w:rsid w:val="001B3078"/>
    <w:rsid w:val="001B6C1B"/>
    <w:rsid w:val="001C23A8"/>
    <w:rsid w:val="001C4A1C"/>
    <w:rsid w:val="001D4E7A"/>
    <w:rsid w:val="001E2A8E"/>
    <w:rsid w:val="001E62A8"/>
    <w:rsid w:val="001E6703"/>
    <w:rsid w:val="001E7E9E"/>
    <w:rsid w:val="001F1F7B"/>
    <w:rsid w:val="001F69FF"/>
    <w:rsid w:val="001F7471"/>
    <w:rsid w:val="00200134"/>
    <w:rsid w:val="002046FF"/>
    <w:rsid w:val="00206562"/>
    <w:rsid w:val="00207A3F"/>
    <w:rsid w:val="002120D3"/>
    <w:rsid w:val="002128ED"/>
    <w:rsid w:val="002224FA"/>
    <w:rsid w:val="0022313D"/>
    <w:rsid w:val="002301B9"/>
    <w:rsid w:val="00234945"/>
    <w:rsid w:val="00236C32"/>
    <w:rsid w:val="00243882"/>
    <w:rsid w:val="00245ABF"/>
    <w:rsid w:val="00253F75"/>
    <w:rsid w:val="00255F34"/>
    <w:rsid w:val="00256BE5"/>
    <w:rsid w:val="00257770"/>
    <w:rsid w:val="00257AE6"/>
    <w:rsid w:val="0026260F"/>
    <w:rsid w:val="00263D1C"/>
    <w:rsid w:val="00264CAB"/>
    <w:rsid w:val="0026536B"/>
    <w:rsid w:val="00266978"/>
    <w:rsid w:val="00267196"/>
    <w:rsid w:val="002730B6"/>
    <w:rsid w:val="002755E7"/>
    <w:rsid w:val="00276838"/>
    <w:rsid w:val="00277545"/>
    <w:rsid w:val="00277CC1"/>
    <w:rsid w:val="00282B57"/>
    <w:rsid w:val="002850CE"/>
    <w:rsid w:val="00285E75"/>
    <w:rsid w:val="002919B6"/>
    <w:rsid w:val="002931DE"/>
    <w:rsid w:val="0029386D"/>
    <w:rsid w:val="0029471B"/>
    <w:rsid w:val="002A05EB"/>
    <w:rsid w:val="002A407B"/>
    <w:rsid w:val="002A431C"/>
    <w:rsid w:val="002A4379"/>
    <w:rsid w:val="002A6242"/>
    <w:rsid w:val="002A655E"/>
    <w:rsid w:val="002A7DD6"/>
    <w:rsid w:val="002B7A70"/>
    <w:rsid w:val="002C0E2A"/>
    <w:rsid w:val="002C7FA3"/>
    <w:rsid w:val="002D0384"/>
    <w:rsid w:val="002D3EBF"/>
    <w:rsid w:val="002D4EC1"/>
    <w:rsid w:val="002E07D1"/>
    <w:rsid w:val="002E0FC8"/>
    <w:rsid w:val="002E2EEB"/>
    <w:rsid w:val="002E3250"/>
    <w:rsid w:val="002E32FA"/>
    <w:rsid w:val="002E770B"/>
    <w:rsid w:val="002F22EE"/>
    <w:rsid w:val="002F3C60"/>
    <w:rsid w:val="002F73C8"/>
    <w:rsid w:val="00300D38"/>
    <w:rsid w:val="00300E6D"/>
    <w:rsid w:val="0030312E"/>
    <w:rsid w:val="00306946"/>
    <w:rsid w:val="0030746B"/>
    <w:rsid w:val="003110DD"/>
    <w:rsid w:val="00312047"/>
    <w:rsid w:val="00312B13"/>
    <w:rsid w:val="0031613E"/>
    <w:rsid w:val="003172E8"/>
    <w:rsid w:val="00320F89"/>
    <w:rsid w:val="00321D42"/>
    <w:rsid w:val="003323A0"/>
    <w:rsid w:val="00335ED4"/>
    <w:rsid w:val="00336439"/>
    <w:rsid w:val="003406A0"/>
    <w:rsid w:val="0034242B"/>
    <w:rsid w:val="00342948"/>
    <w:rsid w:val="00351218"/>
    <w:rsid w:val="00351861"/>
    <w:rsid w:val="003525FC"/>
    <w:rsid w:val="00363081"/>
    <w:rsid w:val="00363304"/>
    <w:rsid w:val="0036486E"/>
    <w:rsid w:val="00364E7C"/>
    <w:rsid w:val="00367E2E"/>
    <w:rsid w:val="003720C4"/>
    <w:rsid w:val="00375016"/>
    <w:rsid w:val="0037657C"/>
    <w:rsid w:val="00381A78"/>
    <w:rsid w:val="0038240F"/>
    <w:rsid w:val="003855BC"/>
    <w:rsid w:val="0038666E"/>
    <w:rsid w:val="00386E03"/>
    <w:rsid w:val="0039069F"/>
    <w:rsid w:val="00391C8A"/>
    <w:rsid w:val="003921E7"/>
    <w:rsid w:val="003929EC"/>
    <w:rsid w:val="00393E3B"/>
    <w:rsid w:val="0039591B"/>
    <w:rsid w:val="003A0405"/>
    <w:rsid w:val="003A51E1"/>
    <w:rsid w:val="003B04FB"/>
    <w:rsid w:val="003B4D29"/>
    <w:rsid w:val="003C048B"/>
    <w:rsid w:val="003C2424"/>
    <w:rsid w:val="003C4DBA"/>
    <w:rsid w:val="003C681F"/>
    <w:rsid w:val="003C6FED"/>
    <w:rsid w:val="003C7D95"/>
    <w:rsid w:val="003D0A3E"/>
    <w:rsid w:val="003D35C8"/>
    <w:rsid w:val="003E3A0D"/>
    <w:rsid w:val="003E6761"/>
    <w:rsid w:val="003E715D"/>
    <w:rsid w:val="003F3871"/>
    <w:rsid w:val="003F7275"/>
    <w:rsid w:val="004000D1"/>
    <w:rsid w:val="00404350"/>
    <w:rsid w:val="004101F0"/>
    <w:rsid w:val="00412CDA"/>
    <w:rsid w:val="00413AF1"/>
    <w:rsid w:val="00417071"/>
    <w:rsid w:val="00422A0B"/>
    <w:rsid w:val="004231CD"/>
    <w:rsid w:val="00430B00"/>
    <w:rsid w:val="00433E10"/>
    <w:rsid w:val="00435EDB"/>
    <w:rsid w:val="00444C2F"/>
    <w:rsid w:val="0044612B"/>
    <w:rsid w:val="0044627B"/>
    <w:rsid w:val="00450E6B"/>
    <w:rsid w:val="00453275"/>
    <w:rsid w:val="00460B29"/>
    <w:rsid w:val="004627D7"/>
    <w:rsid w:val="004629E8"/>
    <w:rsid w:val="00462A01"/>
    <w:rsid w:val="00463276"/>
    <w:rsid w:val="00474395"/>
    <w:rsid w:val="004766A3"/>
    <w:rsid w:val="004767B9"/>
    <w:rsid w:val="00480CE1"/>
    <w:rsid w:val="00481F07"/>
    <w:rsid w:val="00487713"/>
    <w:rsid w:val="004932FA"/>
    <w:rsid w:val="004961A9"/>
    <w:rsid w:val="00496A8A"/>
    <w:rsid w:val="004A26DD"/>
    <w:rsid w:val="004A2B0B"/>
    <w:rsid w:val="004A5F29"/>
    <w:rsid w:val="004B37BE"/>
    <w:rsid w:val="004B4985"/>
    <w:rsid w:val="004B634A"/>
    <w:rsid w:val="004C3542"/>
    <w:rsid w:val="004C4C3D"/>
    <w:rsid w:val="004C7A3B"/>
    <w:rsid w:val="004D23D7"/>
    <w:rsid w:val="004D34E5"/>
    <w:rsid w:val="004D4BB6"/>
    <w:rsid w:val="004E223B"/>
    <w:rsid w:val="004E36C1"/>
    <w:rsid w:val="004E57CB"/>
    <w:rsid w:val="004F382E"/>
    <w:rsid w:val="004F6F69"/>
    <w:rsid w:val="005001A6"/>
    <w:rsid w:val="00500A8D"/>
    <w:rsid w:val="00504563"/>
    <w:rsid w:val="00504CD2"/>
    <w:rsid w:val="00505227"/>
    <w:rsid w:val="00505B96"/>
    <w:rsid w:val="0050775D"/>
    <w:rsid w:val="00507A70"/>
    <w:rsid w:val="0051036C"/>
    <w:rsid w:val="0051470D"/>
    <w:rsid w:val="0051760D"/>
    <w:rsid w:val="0052055C"/>
    <w:rsid w:val="005218DF"/>
    <w:rsid w:val="005232BE"/>
    <w:rsid w:val="00525780"/>
    <w:rsid w:val="00526FCD"/>
    <w:rsid w:val="00527B06"/>
    <w:rsid w:val="00530220"/>
    <w:rsid w:val="0053109A"/>
    <w:rsid w:val="00531548"/>
    <w:rsid w:val="005347E6"/>
    <w:rsid w:val="005349B2"/>
    <w:rsid w:val="0053503C"/>
    <w:rsid w:val="005364FC"/>
    <w:rsid w:val="00543FCE"/>
    <w:rsid w:val="00544495"/>
    <w:rsid w:val="00544AAE"/>
    <w:rsid w:val="0054568D"/>
    <w:rsid w:val="00545A1B"/>
    <w:rsid w:val="0054770D"/>
    <w:rsid w:val="00550558"/>
    <w:rsid w:val="00550B3F"/>
    <w:rsid w:val="0055191D"/>
    <w:rsid w:val="005529ED"/>
    <w:rsid w:val="00580B1E"/>
    <w:rsid w:val="00583840"/>
    <w:rsid w:val="00587EA8"/>
    <w:rsid w:val="0059024C"/>
    <w:rsid w:val="005934D2"/>
    <w:rsid w:val="0059447F"/>
    <w:rsid w:val="0059482D"/>
    <w:rsid w:val="00597ED0"/>
    <w:rsid w:val="005A06C2"/>
    <w:rsid w:val="005A0AFD"/>
    <w:rsid w:val="005A3D4B"/>
    <w:rsid w:val="005A5F7E"/>
    <w:rsid w:val="005A6B76"/>
    <w:rsid w:val="005A6BEB"/>
    <w:rsid w:val="005A7FBB"/>
    <w:rsid w:val="005B0C53"/>
    <w:rsid w:val="005B7C37"/>
    <w:rsid w:val="005C6F38"/>
    <w:rsid w:val="005C72DF"/>
    <w:rsid w:val="005D01FE"/>
    <w:rsid w:val="005D644D"/>
    <w:rsid w:val="005E0828"/>
    <w:rsid w:val="005E1BD2"/>
    <w:rsid w:val="005E4596"/>
    <w:rsid w:val="005E5F23"/>
    <w:rsid w:val="005F1AD6"/>
    <w:rsid w:val="005F1C7B"/>
    <w:rsid w:val="00607588"/>
    <w:rsid w:val="00610A6D"/>
    <w:rsid w:val="0061264E"/>
    <w:rsid w:val="00622CBE"/>
    <w:rsid w:val="0062305E"/>
    <w:rsid w:val="00627275"/>
    <w:rsid w:val="00630529"/>
    <w:rsid w:val="00634CD4"/>
    <w:rsid w:val="00640E57"/>
    <w:rsid w:val="00641C77"/>
    <w:rsid w:val="00643BF0"/>
    <w:rsid w:val="006475E9"/>
    <w:rsid w:val="00653EAC"/>
    <w:rsid w:val="006557AF"/>
    <w:rsid w:val="00655D33"/>
    <w:rsid w:val="00656C72"/>
    <w:rsid w:val="006572FC"/>
    <w:rsid w:val="00663AAE"/>
    <w:rsid w:val="00666DF6"/>
    <w:rsid w:val="0067129A"/>
    <w:rsid w:val="00671BC9"/>
    <w:rsid w:val="00672A15"/>
    <w:rsid w:val="006732AB"/>
    <w:rsid w:val="006743F6"/>
    <w:rsid w:val="00674A11"/>
    <w:rsid w:val="00681077"/>
    <w:rsid w:val="00682245"/>
    <w:rsid w:val="0068314E"/>
    <w:rsid w:val="00685E8A"/>
    <w:rsid w:val="00687F25"/>
    <w:rsid w:val="0069045F"/>
    <w:rsid w:val="006938DC"/>
    <w:rsid w:val="006958A1"/>
    <w:rsid w:val="00697A51"/>
    <w:rsid w:val="006A3F6B"/>
    <w:rsid w:val="006A44DF"/>
    <w:rsid w:val="006B0AF8"/>
    <w:rsid w:val="006B23DC"/>
    <w:rsid w:val="006B3403"/>
    <w:rsid w:val="006B524A"/>
    <w:rsid w:val="006B61CA"/>
    <w:rsid w:val="006C07A4"/>
    <w:rsid w:val="006C0FE1"/>
    <w:rsid w:val="006C474B"/>
    <w:rsid w:val="006C5812"/>
    <w:rsid w:val="006D08D2"/>
    <w:rsid w:val="006D2235"/>
    <w:rsid w:val="006D4BA8"/>
    <w:rsid w:val="006E08C4"/>
    <w:rsid w:val="006E2092"/>
    <w:rsid w:val="006E2435"/>
    <w:rsid w:val="006E47EC"/>
    <w:rsid w:val="006E7E36"/>
    <w:rsid w:val="006F0845"/>
    <w:rsid w:val="006F3F2C"/>
    <w:rsid w:val="006F5F7E"/>
    <w:rsid w:val="006F615F"/>
    <w:rsid w:val="006F6388"/>
    <w:rsid w:val="006F6F89"/>
    <w:rsid w:val="006F7CC0"/>
    <w:rsid w:val="007017BF"/>
    <w:rsid w:val="00703FC7"/>
    <w:rsid w:val="007066DF"/>
    <w:rsid w:val="00707CB8"/>
    <w:rsid w:val="00710059"/>
    <w:rsid w:val="0071197C"/>
    <w:rsid w:val="007150A9"/>
    <w:rsid w:val="00715B47"/>
    <w:rsid w:val="007160DA"/>
    <w:rsid w:val="00717713"/>
    <w:rsid w:val="00720F8B"/>
    <w:rsid w:val="007221EF"/>
    <w:rsid w:val="0072254F"/>
    <w:rsid w:val="007247F1"/>
    <w:rsid w:val="00727F57"/>
    <w:rsid w:val="00737F42"/>
    <w:rsid w:val="00740CC4"/>
    <w:rsid w:val="00741325"/>
    <w:rsid w:val="0074184B"/>
    <w:rsid w:val="00743669"/>
    <w:rsid w:val="0074366E"/>
    <w:rsid w:val="00745683"/>
    <w:rsid w:val="00747ECD"/>
    <w:rsid w:val="007512F7"/>
    <w:rsid w:val="007526E8"/>
    <w:rsid w:val="00760EEF"/>
    <w:rsid w:val="00764094"/>
    <w:rsid w:val="00765820"/>
    <w:rsid w:val="00765FA8"/>
    <w:rsid w:val="00777C7D"/>
    <w:rsid w:val="007804A6"/>
    <w:rsid w:val="00780DBA"/>
    <w:rsid w:val="00780E62"/>
    <w:rsid w:val="0078262E"/>
    <w:rsid w:val="007853D9"/>
    <w:rsid w:val="007875F8"/>
    <w:rsid w:val="00790F0D"/>
    <w:rsid w:val="00792477"/>
    <w:rsid w:val="0079443E"/>
    <w:rsid w:val="00795C23"/>
    <w:rsid w:val="00797C07"/>
    <w:rsid w:val="007A0F83"/>
    <w:rsid w:val="007A4777"/>
    <w:rsid w:val="007A549A"/>
    <w:rsid w:val="007A6479"/>
    <w:rsid w:val="007B09CE"/>
    <w:rsid w:val="007B512F"/>
    <w:rsid w:val="007C43CE"/>
    <w:rsid w:val="007C651A"/>
    <w:rsid w:val="007C7C16"/>
    <w:rsid w:val="007D0673"/>
    <w:rsid w:val="007D2427"/>
    <w:rsid w:val="007D287E"/>
    <w:rsid w:val="007D3D70"/>
    <w:rsid w:val="007D46F0"/>
    <w:rsid w:val="007D7CFE"/>
    <w:rsid w:val="007E0863"/>
    <w:rsid w:val="007E6A46"/>
    <w:rsid w:val="007F24B8"/>
    <w:rsid w:val="007F6161"/>
    <w:rsid w:val="007F62AA"/>
    <w:rsid w:val="007F6F65"/>
    <w:rsid w:val="007F7572"/>
    <w:rsid w:val="0080014B"/>
    <w:rsid w:val="00801D76"/>
    <w:rsid w:val="008035C0"/>
    <w:rsid w:val="0080396D"/>
    <w:rsid w:val="00804E0B"/>
    <w:rsid w:val="008060C2"/>
    <w:rsid w:val="00806D66"/>
    <w:rsid w:val="008075F1"/>
    <w:rsid w:val="00813D2E"/>
    <w:rsid w:val="008229A6"/>
    <w:rsid w:val="0082423D"/>
    <w:rsid w:val="00824FE8"/>
    <w:rsid w:val="008257D9"/>
    <w:rsid w:val="008307DE"/>
    <w:rsid w:val="0083301A"/>
    <w:rsid w:val="0083378F"/>
    <w:rsid w:val="0083711F"/>
    <w:rsid w:val="00842405"/>
    <w:rsid w:val="00843649"/>
    <w:rsid w:val="00843885"/>
    <w:rsid w:val="008440CF"/>
    <w:rsid w:val="008442AE"/>
    <w:rsid w:val="00844D89"/>
    <w:rsid w:val="008450DA"/>
    <w:rsid w:val="008458EE"/>
    <w:rsid w:val="0084624F"/>
    <w:rsid w:val="00846578"/>
    <w:rsid w:val="0084661A"/>
    <w:rsid w:val="0084721D"/>
    <w:rsid w:val="008545A0"/>
    <w:rsid w:val="008557D1"/>
    <w:rsid w:val="00862301"/>
    <w:rsid w:val="00862A2B"/>
    <w:rsid w:val="008644F0"/>
    <w:rsid w:val="00866C52"/>
    <w:rsid w:val="0086799C"/>
    <w:rsid w:val="00874317"/>
    <w:rsid w:val="008748D2"/>
    <w:rsid w:val="00874A38"/>
    <w:rsid w:val="008755A9"/>
    <w:rsid w:val="00877DD4"/>
    <w:rsid w:val="0088458D"/>
    <w:rsid w:val="00887C34"/>
    <w:rsid w:val="00895B09"/>
    <w:rsid w:val="00897D12"/>
    <w:rsid w:val="008A4409"/>
    <w:rsid w:val="008A56DD"/>
    <w:rsid w:val="008B102A"/>
    <w:rsid w:val="008B514B"/>
    <w:rsid w:val="008B6705"/>
    <w:rsid w:val="008C5329"/>
    <w:rsid w:val="008C67AD"/>
    <w:rsid w:val="008C6EFC"/>
    <w:rsid w:val="008C75BA"/>
    <w:rsid w:val="008D1645"/>
    <w:rsid w:val="008D1F3F"/>
    <w:rsid w:val="008D1FF0"/>
    <w:rsid w:val="008D38D7"/>
    <w:rsid w:val="008E2B67"/>
    <w:rsid w:val="008F76A4"/>
    <w:rsid w:val="00900548"/>
    <w:rsid w:val="00903D09"/>
    <w:rsid w:val="00904D66"/>
    <w:rsid w:val="00917ABC"/>
    <w:rsid w:val="0092245E"/>
    <w:rsid w:val="00922715"/>
    <w:rsid w:val="009258F2"/>
    <w:rsid w:val="00937BD2"/>
    <w:rsid w:val="00944386"/>
    <w:rsid w:val="00945B8C"/>
    <w:rsid w:val="009509D4"/>
    <w:rsid w:val="00951B9B"/>
    <w:rsid w:val="0096127E"/>
    <w:rsid w:val="00962CBC"/>
    <w:rsid w:val="00963ABE"/>
    <w:rsid w:val="00964124"/>
    <w:rsid w:val="0096724B"/>
    <w:rsid w:val="009706F7"/>
    <w:rsid w:val="00972413"/>
    <w:rsid w:val="00973002"/>
    <w:rsid w:val="00974102"/>
    <w:rsid w:val="0097425C"/>
    <w:rsid w:val="00976B8E"/>
    <w:rsid w:val="00977B3F"/>
    <w:rsid w:val="009821F6"/>
    <w:rsid w:val="00982F38"/>
    <w:rsid w:val="009847CE"/>
    <w:rsid w:val="00985CE3"/>
    <w:rsid w:val="009907DA"/>
    <w:rsid w:val="009A138A"/>
    <w:rsid w:val="009A2C5A"/>
    <w:rsid w:val="009A4BF1"/>
    <w:rsid w:val="009B023D"/>
    <w:rsid w:val="009B29B3"/>
    <w:rsid w:val="009B4F86"/>
    <w:rsid w:val="009B5E17"/>
    <w:rsid w:val="009C1124"/>
    <w:rsid w:val="009D1310"/>
    <w:rsid w:val="009D29E6"/>
    <w:rsid w:val="009D4208"/>
    <w:rsid w:val="009D70B3"/>
    <w:rsid w:val="009E1C6D"/>
    <w:rsid w:val="009F381D"/>
    <w:rsid w:val="009F5054"/>
    <w:rsid w:val="009F571C"/>
    <w:rsid w:val="009F5801"/>
    <w:rsid w:val="009F6BC2"/>
    <w:rsid w:val="00A01FAC"/>
    <w:rsid w:val="00A02AFE"/>
    <w:rsid w:val="00A16086"/>
    <w:rsid w:val="00A238D7"/>
    <w:rsid w:val="00A262A0"/>
    <w:rsid w:val="00A3330D"/>
    <w:rsid w:val="00A40C38"/>
    <w:rsid w:val="00A40CBA"/>
    <w:rsid w:val="00A50E44"/>
    <w:rsid w:val="00A53A2E"/>
    <w:rsid w:val="00A54D87"/>
    <w:rsid w:val="00A551DE"/>
    <w:rsid w:val="00A56BFB"/>
    <w:rsid w:val="00A57DA1"/>
    <w:rsid w:val="00A60CBA"/>
    <w:rsid w:val="00A61A35"/>
    <w:rsid w:val="00A61A58"/>
    <w:rsid w:val="00A62630"/>
    <w:rsid w:val="00A62F18"/>
    <w:rsid w:val="00A6433C"/>
    <w:rsid w:val="00A65DFB"/>
    <w:rsid w:val="00A749BD"/>
    <w:rsid w:val="00A76170"/>
    <w:rsid w:val="00A765EE"/>
    <w:rsid w:val="00A77E8A"/>
    <w:rsid w:val="00A830B1"/>
    <w:rsid w:val="00A87A4E"/>
    <w:rsid w:val="00A9032D"/>
    <w:rsid w:val="00A912C0"/>
    <w:rsid w:val="00A91D08"/>
    <w:rsid w:val="00A95EAF"/>
    <w:rsid w:val="00A967BF"/>
    <w:rsid w:val="00AA146E"/>
    <w:rsid w:val="00AA2557"/>
    <w:rsid w:val="00AB6B2D"/>
    <w:rsid w:val="00AB7194"/>
    <w:rsid w:val="00AB719E"/>
    <w:rsid w:val="00AC222A"/>
    <w:rsid w:val="00AC3B60"/>
    <w:rsid w:val="00AC5157"/>
    <w:rsid w:val="00AC6B74"/>
    <w:rsid w:val="00AC6F1F"/>
    <w:rsid w:val="00AC6FEC"/>
    <w:rsid w:val="00AC7BE9"/>
    <w:rsid w:val="00AD086F"/>
    <w:rsid w:val="00AD10B3"/>
    <w:rsid w:val="00AD64A7"/>
    <w:rsid w:val="00AD70F4"/>
    <w:rsid w:val="00AE0AF4"/>
    <w:rsid w:val="00AE13C8"/>
    <w:rsid w:val="00AE38BC"/>
    <w:rsid w:val="00AE59A5"/>
    <w:rsid w:val="00AE5FB6"/>
    <w:rsid w:val="00AF0FF6"/>
    <w:rsid w:val="00AF341B"/>
    <w:rsid w:val="00AF5CC0"/>
    <w:rsid w:val="00B0054F"/>
    <w:rsid w:val="00B040D1"/>
    <w:rsid w:val="00B04E11"/>
    <w:rsid w:val="00B05C9B"/>
    <w:rsid w:val="00B1038C"/>
    <w:rsid w:val="00B14790"/>
    <w:rsid w:val="00B1644B"/>
    <w:rsid w:val="00B24F8C"/>
    <w:rsid w:val="00B253A6"/>
    <w:rsid w:val="00B27465"/>
    <w:rsid w:val="00B35022"/>
    <w:rsid w:val="00B35449"/>
    <w:rsid w:val="00B35B97"/>
    <w:rsid w:val="00B35C55"/>
    <w:rsid w:val="00B436FF"/>
    <w:rsid w:val="00B44086"/>
    <w:rsid w:val="00B448D7"/>
    <w:rsid w:val="00B614E3"/>
    <w:rsid w:val="00B61B67"/>
    <w:rsid w:val="00B62B39"/>
    <w:rsid w:val="00B6384A"/>
    <w:rsid w:val="00B80540"/>
    <w:rsid w:val="00B81528"/>
    <w:rsid w:val="00B82F5F"/>
    <w:rsid w:val="00B83BF6"/>
    <w:rsid w:val="00B84F31"/>
    <w:rsid w:val="00B90E5B"/>
    <w:rsid w:val="00B915A5"/>
    <w:rsid w:val="00B9429A"/>
    <w:rsid w:val="00BA0A0F"/>
    <w:rsid w:val="00BA3435"/>
    <w:rsid w:val="00BA358E"/>
    <w:rsid w:val="00BA37AD"/>
    <w:rsid w:val="00BA7240"/>
    <w:rsid w:val="00BB1080"/>
    <w:rsid w:val="00BB6323"/>
    <w:rsid w:val="00BB6BF6"/>
    <w:rsid w:val="00BC0422"/>
    <w:rsid w:val="00BC06B3"/>
    <w:rsid w:val="00BC093C"/>
    <w:rsid w:val="00BC2272"/>
    <w:rsid w:val="00BC4B93"/>
    <w:rsid w:val="00BC4D46"/>
    <w:rsid w:val="00BD0263"/>
    <w:rsid w:val="00BD087E"/>
    <w:rsid w:val="00BD1DC9"/>
    <w:rsid w:val="00BD3623"/>
    <w:rsid w:val="00BD39FC"/>
    <w:rsid w:val="00BE4E9E"/>
    <w:rsid w:val="00BE54DE"/>
    <w:rsid w:val="00BE63CD"/>
    <w:rsid w:val="00BF14C2"/>
    <w:rsid w:val="00BF534E"/>
    <w:rsid w:val="00BF5483"/>
    <w:rsid w:val="00C054DF"/>
    <w:rsid w:val="00C105DC"/>
    <w:rsid w:val="00C10AB9"/>
    <w:rsid w:val="00C144AD"/>
    <w:rsid w:val="00C16417"/>
    <w:rsid w:val="00C16873"/>
    <w:rsid w:val="00C23D12"/>
    <w:rsid w:val="00C27787"/>
    <w:rsid w:val="00C2794A"/>
    <w:rsid w:val="00C31813"/>
    <w:rsid w:val="00C32C38"/>
    <w:rsid w:val="00C33F6A"/>
    <w:rsid w:val="00C35509"/>
    <w:rsid w:val="00C35D2B"/>
    <w:rsid w:val="00C36165"/>
    <w:rsid w:val="00C36F80"/>
    <w:rsid w:val="00C451DD"/>
    <w:rsid w:val="00C45C69"/>
    <w:rsid w:val="00C51E57"/>
    <w:rsid w:val="00C52AC5"/>
    <w:rsid w:val="00C53904"/>
    <w:rsid w:val="00C569AF"/>
    <w:rsid w:val="00C6017F"/>
    <w:rsid w:val="00C60FDE"/>
    <w:rsid w:val="00C6100B"/>
    <w:rsid w:val="00C67EF0"/>
    <w:rsid w:val="00C70DA7"/>
    <w:rsid w:val="00C74BB2"/>
    <w:rsid w:val="00C75818"/>
    <w:rsid w:val="00C77D01"/>
    <w:rsid w:val="00C835A7"/>
    <w:rsid w:val="00C8375E"/>
    <w:rsid w:val="00C84C70"/>
    <w:rsid w:val="00C85372"/>
    <w:rsid w:val="00C853AC"/>
    <w:rsid w:val="00C8556C"/>
    <w:rsid w:val="00CA064B"/>
    <w:rsid w:val="00CA0755"/>
    <w:rsid w:val="00CA527B"/>
    <w:rsid w:val="00CA6164"/>
    <w:rsid w:val="00CB379A"/>
    <w:rsid w:val="00CB39AD"/>
    <w:rsid w:val="00CB4280"/>
    <w:rsid w:val="00CB5936"/>
    <w:rsid w:val="00CB5B6E"/>
    <w:rsid w:val="00CB6BA7"/>
    <w:rsid w:val="00CB735D"/>
    <w:rsid w:val="00CC1CEA"/>
    <w:rsid w:val="00CD064C"/>
    <w:rsid w:val="00CD1C0C"/>
    <w:rsid w:val="00CD339C"/>
    <w:rsid w:val="00CE4C3C"/>
    <w:rsid w:val="00CE5F3D"/>
    <w:rsid w:val="00CE70A6"/>
    <w:rsid w:val="00CF4039"/>
    <w:rsid w:val="00D00EEC"/>
    <w:rsid w:val="00D03965"/>
    <w:rsid w:val="00D047F6"/>
    <w:rsid w:val="00D06DB0"/>
    <w:rsid w:val="00D10D3F"/>
    <w:rsid w:val="00D15E4D"/>
    <w:rsid w:val="00D165E8"/>
    <w:rsid w:val="00D17C41"/>
    <w:rsid w:val="00D210D0"/>
    <w:rsid w:val="00D22D73"/>
    <w:rsid w:val="00D23318"/>
    <w:rsid w:val="00D32319"/>
    <w:rsid w:val="00D33D9F"/>
    <w:rsid w:val="00D40373"/>
    <w:rsid w:val="00D44F20"/>
    <w:rsid w:val="00D512DA"/>
    <w:rsid w:val="00D5175D"/>
    <w:rsid w:val="00D54A25"/>
    <w:rsid w:val="00D60B79"/>
    <w:rsid w:val="00D65350"/>
    <w:rsid w:val="00D72207"/>
    <w:rsid w:val="00D76DE2"/>
    <w:rsid w:val="00D93146"/>
    <w:rsid w:val="00D940D7"/>
    <w:rsid w:val="00D943CC"/>
    <w:rsid w:val="00D977E7"/>
    <w:rsid w:val="00D97E5D"/>
    <w:rsid w:val="00DA0572"/>
    <w:rsid w:val="00DA270C"/>
    <w:rsid w:val="00DA3C7E"/>
    <w:rsid w:val="00DA423F"/>
    <w:rsid w:val="00DA42ED"/>
    <w:rsid w:val="00DA6FA5"/>
    <w:rsid w:val="00DA7238"/>
    <w:rsid w:val="00DB00C1"/>
    <w:rsid w:val="00DB2CA0"/>
    <w:rsid w:val="00DB4905"/>
    <w:rsid w:val="00DB766B"/>
    <w:rsid w:val="00DC1B59"/>
    <w:rsid w:val="00DC24FE"/>
    <w:rsid w:val="00DC38A0"/>
    <w:rsid w:val="00DD21B6"/>
    <w:rsid w:val="00DD3A2D"/>
    <w:rsid w:val="00DD5DDC"/>
    <w:rsid w:val="00DD6B70"/>
    <w:rsid w:val="00DD7D1C"/>
    <w:rsid w:val="00DF58F7"/>
    <w:rsid w:val="00DF5CFD"/>
    <w:rsid w:val="00DF67B2"/>
    <w:rsid w:val="00DF79A4"/>
    <w:rsid w:val="00E005DA"/>
    <w:rsid w:val="00E01D44"/>
    <w:rsid w:val="00E02264"/>
    <w:rsid w:val="00E03A5C"/>
    <w:rsid w:val="00E07991"/>
    <w:rsid w:val="00E157A8"/>
    <w:rsid w:val="00E20483"/>
    <w:rsid w:val="00E21FB8"/>
    <w:rsid w:val="00E26D8D"/>
    <w:rsid w:val="00E30053"/>
    <w:rsid w:val="00E321EA"/>
    <w:rsid w:val="00E34D79"/>
    <w:rsid w:val="00E3597D"/>
    <w:rsid w:val="00E36ECF"/>
    <w:rsid w:val="00E37D45"/>
    <w:rsid w:val="00E412A5"/>
    <w:rsid w:val="00E42334"/>
    <w:rsid w:val="00E42C5E"/>
    <w:rsid w:val="00E4318D"/>
    <w:rsid w:val="00E4440C"/>
    <w:rsid w:val="00E4524E"/>
    <w:rsid w:val="00E45670"/>
    <w:rsid w:val="00E50679"/>
    <w:rsid w:val="00E53D9E"/>
    <w:rsid w:val="00E5442A"/>
    <w:rsid w:val="00E57971"/>
    <w:rsid w:val="00E6202A"/>
    <w:rsid w:val="00E635AC"/>
    <w:rsid w:val="00E64C54"/>
    <w:rsid w:val="00E655DA"/>
    <w:rsid w:val="00E65EF4"/>
    <w:rsid w:val="00E6782B"/>
    <w:rsid w:val="00E73F89"/>
    <w:rsid w:val="00E74BFC"/>
    <w:rsid w:val="00E82DCF"/>
    <w:rsid w:val="00E84C9C"/>
    <w:rsid w:val="00E866FF"/>
    <w:rsid w:val="00E90270"/>
    <w:rsid w:val="00E905E4"/>
    <w:rsid w:val="00E90A1C"/>
    <w:rsid w:val="00E923A7"/>
    <w:rsid w:val="00E975BF"/>
    <w:rsid w:val="00EA0164"/>
    <w:rsid w:val="00EA0B24"/>
    <w:rsid w:val="00EA32FB"/>
    <w:rsid w:val="00EA3DB5"/>
    <w:rsid w:val="00EA59FB"/>
    <w:rsid w:val="00EA5AA2"/>
    <w:rsid w:val="00EB0FAF"/>
    <w:rsid w:val="00EB61D4"/>
    <w:rsid w:val="00EC0F9D"/>
    <w:rsid w:val="00EC1E33"/>
    <w:rsid w:val="00EC51B2"/>
    <w:rsid w:val="00EC6997"/>
    <w:rsid w:val="00EC7823"/>
    <w:rsid w:val="00EC7E4F"/>
    <w:rsid w:val="00ED3BB1"/>
    <w:rsid w:val="00EE2C8C"/>
    <w:rsid w:val="00EF1539"/>
    <w:rsid w:val="00EF3FF9"/>
    <w:rsid w:val="00EF6A2C"/>
    <w:rsid w:val="00F00AD2"/>
    <w:rsid w:val="00F00CC8"/>
    <w:rsid w:val="00F01D9F"/>
    <w:rsid w:val="00F0426C"/>
    <w:rsid w:val="00F0680F"/>
    <w:rsid w:val="00F10FAB"/>
    <w:rsid w:val="00F11B4D"/>
    <w:rsid w:val="00F132AB"/>
    <w:rsid w:val="00F17CF5"/>
    <w:rsid w:val="00F20313"/>
    <w:rsid w:val="00F20D7E"/>
    <w:rsid w:val="00F22888"/>
    <w:rsid w:val="00F2330A"/>
    <w:rsid w:val="00F25EC1"/>
    <w:rsid w:val="00F323F5"/>
    <w:rsid w:val="00F3511C"/>
    <w:rsid w:val="00F3577C"/>
    <w:rsid w:val="00F40794"/>
    <w:rsid w:val="00F415C9"/>
    <w:rsid w:val="00F418DE"/>
    <w:rsid w:val="00F4388B"/>
    <w:rsid w:val="00F47557"/>
    <w:rsid w:val="00F541ED"/>
    <w:rsid w:val="00F543E6"/>
    <w:rsid w:val="00F60BD5"/>
    <w:rsid w:val="00F60D70"/>
    <w:rsid w:val="00F61663"/>
    <w:rsid w:val="00F63AA7"/>
    <w:rsid w:val="00F67605"/>
    <w:rsid w:val="00F70928"/>
    <w:rsid w:val="00F72475"/>
    <w:rsid w:val="00F73F44"/>
    <w:rsid w:val="00F74A77"/>
    <w:rsid w:val="00F80523"/>
    <w:rsid w:val="00F80CF3"/>
    <w:rsid w:val="00F818CA"/>
    <w:rsid w:val="00F818FE"/>
    <w:rsid w:val="00F8598E"/>
    <w:rsid w:val="00F923FF"/>
    <w:rsid w:val="00F9245A"/>
    <w:rsid w:val="00F9621B"/>
    <w:rsid w:val="00FA14BB"/>
    <w:rsid w:val="00FA34E7"/>
    <w:rsid w:val="00FA4352"/>
    <w:rsid w:val="00FA701F"/>
    <w:rsid w:val="00FB265D"/>
    <w:rsid w:val="00FB3179"/>
    <w:rsid w:val="00FB4B42"/>
    <w:rsid w:val="00FB5084"/>
    <w:rsid w:val="00FC026D"/>
    <w:rsid w:val="00FC4818"/>
    <w:rsid w:val="00FC6C59"/>
    <w:rsid w:val="00FD1462"/>
    <w:rsid w:val="00FD264C"/>
    <w:rsid w:val="00FD2854"/>
    <w:rsid w:val="00FD78F5"/>
    <w:rsid w:val="00FE10CB"/>
    <w:rsid w:val="00FE353E"/>
    <w:rsid w:val="00FE40B8"/>
    <w:rsid w:val="00FE413E"/>
    <w:rsid w:val="00FE4B86"/>
    <w:rsid w:val="00FF0B12"/>
    <w:rsid w:val="00FF2695"/>
    <w:rsid w:val="00FF3D00"/>
    <w:rsid w:val="00FF4B37"/>
    <w:rsid w:val="00FF5378"/>
    <w:rsid w:val="00FF7A22"/>
    <w:rsid w:val="07811E24"/>
    <w:rsid w:val="0A1F5D57"/>
    <w:rsid w:val="12A71933"/>
    <w:rsid w:val="194577B0"/>
    <w:rsid w:val="2D1C68D4"/>
    <w:rsid w:val="33CA3AD5"/>
    <w:rsid w:val="3D6954A6"/>
    <w:rsid w:val="4D8A67B2"/>
    <w:rsid w:val="547C6318"/>
    <w:rsid w:val="5BCE5D7C"/>
    <w:rsid w:val="663858F0"/>
    <w:rsid w:val="67F41D36"/>
    <w:rsid w:val="68A9492C"/>
    <w:rsid w:val="6AAC18C6"/>
    <w:rsid w:val="6C4560E5"/>
    <w:rsid w:val="6FC979FF"/>
    <w:rsid w:val="795A1753"/>
    <w:rsid w:val="79F242DF"/>
    <w:rsid w:val="7F8A665B"/>
    <w:rsid w:val="7FB3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8" w:lineRule="auto"/>
      <w:ind w:left="432" w:hanging="432"/>
      <w:outlineLvl w:val="0"/>
    </w:pPr>
    <w:rPr>
      <w:b/>
      <w:bCs/>
      <w:kern w:val="44"/>
      <w:sz w:val="44"/>
      <w:szCs w:val="44"/>
    </w:rPr>
  </w:style>
  <w:style w:type="paragraph" w:styleId="3">
    <w:name w:val="heading 2"/>
    <w:basedOn w:val="1"/>
    <w:next w:val="4"/>
    <w:link w:val="75"/>
    <w:qFormat/>
    <w:uiPriority w:val="0"/>
    <w:pPr>
      <w:keepNext/>
      <w:keepLines/>
      <w:tabs>
        <w:tab w:val="left" w:pos="180"/>
        <w:tab w:val="left" w:pos="360"/>
      </w:tabs>
      <w:adjustRightInd w:val="0"/>
      <w:spacing w:before="240" w:line="360" w:lineRule="auto"/>
      <w:ind w:right="840" w:rightChars="400"/>
      <w:jc w:val="left"/>
      <w:outlineLvl w:val="1"/>
    </w:pPr>
    <w:rPr>
      <w:rFonts w:ascii="宋体" w:hAnsi="Arial"/>
      <w:b/>
      <w:kern w:val="0"/>
      <w:sz w:val="28"/>
      <w:szCs w:val="20"/>
    </w:rPr>
  </w:style>
  <w:style w:type="paragraph" w:styleId="5">
    <w:name w:val="heading 3"/>
    <w:basedOn w:val="1"/>
    <w:next w:val="1"/>
    <w:link w:val="76"/>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4"/>
    <w:link w:val="77"/>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4"/>
    <w:link w:val="78"/>
    <w:qFormat/>
    <w:uiPriority w:val="0"/>
    <w:pPr>
      <w:keepNext/>
      <w:keepLines/>
      <w:spacing w:before="280" w:after="290" w:line="376" w:lineRule="auto"/>
      <w:outlineLvl w:val="4"/>
    </w:pPr>
    <w:rPr>
      <w:b/>
      <w:sz w:val="28"/>
      <w:szCs w:val="20"/>
    </w:rPr>
  </w:style>
  <w:style w:type="paragraph" w:styleId="8">
    <w:name w:val="heading 6"/>
    <w:basedOn w:val="1"/>
    <w:next w:val="4"/>
    <w:link w:val="79"/>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4"/>
    <w:link w:val="81"/>
    <w:qFormat/>
    <w:uiPriority w:val="0"/>
    <w:pPr>
      <w:keepNext/>
      <w:keepLines/>
      <w:spacing w:before="240" w:after="64" w:line="320" w:lineRule="auto"/>
      <w:ind w:left="1296" w:hanging="1296"/>
      <w:outlineLvl w:val="6"/>
    </w:pPr>
    <w:rPr>
      <w:b/>
      <w:sz w:val="24"/>
    </w:rPr>
  </w:style>
  <w:style w:type="paragraph" w:styleId="10">
    <w:name w:val="heading 8"/>
    <w:basedOn w:val="1"/>
    <w:next w:val="4"/>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4"/>
    <w:link w:val="83"/>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4">
    <w:name w:val="Normal Indent"/>
    <w:basedOn w:val="1"/>
    <w:link w:val="84"/>
    <w:qFormat/>
    <w:uiPriority w:val="0"/>
    <w:pPr>
      <w:widowControl/>
      <w:ind w:firstLine="420"/>
      <w:jc w:val="left"/>
    </w:pPr>
    <w:rPr>
      <w:kern w:val="0"/>
      <w:szCs w:val="20"/>
    </w:rPr>
  </w:style>
  <w:style w:type="paragraph" w:styleId="12">
    <w:name w:val="toc 7"/>
    <w:basedOn w:val="1"/>
    <w:next w:val="1"/>
    <w:unhideWhenUsed/>
    <w:qFormat/>
    <w:uiPriority w:val="0"/>
    <w:pPr>
      <w:ind w:left="1050"/>
      <w:jc w:val="left"/>
    </w:pPr>
    <w:rPr>
      <w:rFonts w:ascii="等线" w:eastAsia="等线"/>
      <w:sz w:val="20"/>
      <w:szCs w:val="20"/>
    </w:rPr>
  </w:style>
  <w:style w:type="paragraph" w:styleId="13">
    <w:name w:val="List Number 2"/>
    <w:basedOn w:val="1"/>
    <w:qFormat/>
    <w:uiPriority w:val="0"/>
    <w:pPr>
      <w:suppressAutoHyphens/>
    </w:pPr>
    <w:rPr>
      <w:rFonts w:eastAsia="楷体_GB2312"/>
      <w:kern w:val="1"/>
      <w:sz w:val="24"/>
      <w:lang w:eastAsia="ar-SA"/>
    </w:rPr>
  </w:style>
  <w:style w:type="paragraph" w:styleId="14">
    <w:name w:val="List Bullet 4"/>
    <w:basedOn w:val="1"/>
    <w:qFormat/>
    <w:uiPriority w:val="0"/>
    <w:pPr>
      <w:tabs>
        <w:tab w:val="left" w:pos="420"/>
        <w:tab w:val="left" w:pos="1620"/>
      </w:tabs>
      <w:autoSpaceDE w:val="0"/>
      <w:autoSpaceDN w:val="0"/>
      <w:adjustRightInd w:val="0"/>
      <w:spacing w:before="80" w:after="80" w:line="300" w:lineRule="auto"/>
      <w:ind w:left="420" w:hanging="420"/>
    </w:pPr>
    <w:rPr>
      <w:rFonts w:ascii="Arial" w:hAnsi="Arial"/>
      <w:kern w:val="0"/>
      <w:szCs w:val="20"/>
    </w:rPr>
  </w:style>
  <w:style w:type="paragraph" w:styleId="15">
    <w:name w:val="List Number"/>
    <w:basedOn w:val="1"/>
    <w:qFormat/>
    <w:uiPriority w:val="0"/>
    <w:pPr>
      <w:tabs>
        <w:tab w:val="left" w:pos="1044"/>
      </w:tabs>
      <w:suppressAutoHyphens/>
      <w:ind w:left="624" w:hanging="624"/>
    </w:pPr>
    <w:rPr>
      <w:rFonts w:eastAsia="楷体_GB2312"/>
      <w:kern w:val="1"/>
      <w:sz w:val="24"/>
      <w:lang w:eastAsia="ar-SA"/>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unhideWhenUsed/>
    <w:qFormat/>
    <w:uiPriority w:val="0"/>
    <w:pPr>
      <w:tabs>
        <w:tab w:val="left" w:pos="360"/>
      </w:tabs>
      <w:ind w:left="432" w:hanging="432"/>
    </w:pPr>
    <w:rPr>
      <w:szCs w:val="22"/>
    </w:rPr>
  </w:style>
  <w:style w:type="paragraph" w:styleId="18">
    <w:name w:val="Document Map"/>
    <w:basedOn w:val="1"/>
    <w:link w:val="107"/>
    <w:qFormat/>
    <w:uiPriority w:val="0"/>
    <w:pPr>
      <w:shd w:val="clear" w:color="auto" w:fill="000080"/>
    </w:pPr>
  </w:style>
  <w:style w:type="paragraph" w:styleId="19">
    <w:name w:val="annotation text"/>
    <w:basedOn w:val="1"/>
    <w:link w:val="86"/>
    <w:qFormat/>
    <w:uiPriority w:val="99"/>
    <w:pPr>
      <w:widowControl/>
      <w:jc w:val="left"/>
    </w:pPr>
    <w:rPr>
      <w:kern w:val="0"/>
      <w:szCs w:val="20"/>
    </w:rPr>
  </w:style>
  <w:style w:type="paragraph" w:styleId="20">
    <w:name w:val="Body Text 3"/>
    <w:basedOn w:val="1"/>
    <w:link w:val="112"/>
    <w:qFormat/>
    <w:uiPriority w:val="0"/>
    <w:pPr>
      <w:spacing w:after="120"/>
    </w:pPr>
    <w:rPr>
      <w:sz w:val="16"/>
      <w:szCs w:val="16"/>
    </w:rPr>
  </w:style>
  <w:style w:type="paragraph" w:styleId="21">
    <w:name w:val="Body Text"/>
    <w:basedOn w:val="1"/>
    <w:link w:val="192"/>
    <w:unhideWhenUsed/>
    <w:qFormat/>
    <w:uiPriority w:val="0"/>
    <w:pPr>
      <w:spacing w:after="120"/>
    </w:pPr>
  </w:style>
  <w:style w:type="paragraph" w:styleId="22">
    <w:name w:val="Body Text Indent"/>
    <w:basedOn w:val="1"/>
    <w:link w:val="188"/>
    <w:unhideWhenUsed/>
    <w:qFormat/>
    <w:uiPriority w:val="0"/>
    <w:pPr>
      <w:spacing w:after="120"/>
      <w:ind w:left="420" w:leftChars="200"/>
    </w:pPr>
  </w:style>
  <w:style w:type="paragraph" w:styleId="23">
    <w:name w:val="List 2"/>
    <w:basedOn w:val="1"/>
    <w:qFormat/>
    <w:uiPriority w:val="0"/>
    <w:pPr>
      <w:widowControl/>
      <w:ind w:left="100" w:leftChars="200" w:hanging="200" w:hangingChars="200"/>
      <w:jc w:val="left"/>
    </w:pPr>
    <w:rPr>
      <w:kern w:val="0"/>
      <w:szCs w:val="20"/>
    </w:rPr>
  </w:style>
  <w:style w:type="paragraph" w:styleId="24">
    <w:name w:val="Block Text"/>
    <w:basedOn w:val="1"/>
    <w:qFormat/>
    <w:uiPriority w:val="0"/>
    <w:pPr>
      <w:widowControl/>
      <w:spacing w:after="120"/>
      <w:ind w:left="1440" w:leftChars="700" w:right="1440" w:rightChars="700"/>
      <w:jc w:val="left"/>
    </w:pPr>
    <w:rPr>
      <w:kern w:val="0"/>
      <w:szCs w:val="20"/>
    </w:rPr>
  </w:style>
  <w:style w:type="paragraph" w:styleId="25">
    <w:name w:val="toc 5"/>
    <w:basedOn w:val="1"/>
    <w:next w:val="1"/>
    <w:unhideWhenUsed/>
    <w:qFormat/>
    <w:uiPriority w:val="0"/>
    <w:pPr>
      <w:ind w:left="630"/>
      <w:jc w:val="left"/>
    </w:pPr>
    <w:rPr>
      <w:rFonts w:ascii="等线" w:eastAsia="等线"/>
      <w:sz w:val="20"/>
      <w:szCs w:val="20"/>
    </w:rPr>
  </w:style>
  <w:style w:type="paragraph" w:styleId="26">
    <w:name w:val="toc 3"/>
    <w:basedOn w:val="1"/>
    <w:next w:val="1"/>
    <w:unhideWhenUsed/>
    <w:qFormat/>
    <w:uiPriority w:val="0"/>
    <w:pPr>
      <w:ind w:left="210"/>
      <w:jc w:val="left"/>
    </w:pPr>
    <w:rPr>
      <w:rFonts w:ascii="等线" w:eastAsia="等线"/>
      <w:sz w:val="20"/>
      <w:szCs w:val="20"/>
    </w:rPr>
  </w:style>
  <w:style w:type="paragraph" w:styleId="27">
    <w:name w:val="Plain Text"/>
    <w:basedOn w:val="1"/>
    <w:link w:val="92"/>
    <w:qFormat/>
    <w:uiPriority w:val="0"/>
    <w:rPr>
      <w:rFonts w:ascii="宋体" w:hAnsi="Courier New" w:cs="Courier New"/>
      <w:szCs w:val="21"/>
    </w:rPr>
  </w:style>
  <w:style w:type="paragraph" w:styleId="28">
    <w:name w:val="toc 8"/>
    <w:basedOn w:val="1"/>
    <w:next w:val="1"/>
    <w:unhideWhenUsed/>
    <w:qFormat/>
    <w:uiPriority w:val="0"/>
    <w:pPr>
      <w:ind w:left="1260"/>
      <w:jc w:val="left"/>
    </w:pPr>
    <w:rPr>
      <w:rFonts w:ascii="等线" w:eastAsia="等线"/>
      <w:sz w:val="20"/>
      <w:szCs w:val="20"/>
    </w:rPr>
  </w:style>
  <w:style w:type="paragraph" w:styleId="29">
    <w:name w:val="Date"/>
    <w:basedOn w:val="1"/>
    <w:next w:val="1"/>
    <w:link w:val="150"/>
    <w:qFormat/>
    <w:uiPriority w:val="0"/>
    <w:rPr>
      <w:rFonts w:ascii="宋体"/>
      <w:kern w:val="0"/>
      <w:sz w:val="24"/>
      <w:szCs w:val="20"/>
    </w:rPr>
  </w:style>
  <w:style w:type="paragraph" w:styleId="30">
    <w:name w:val="Body Text Indent 2"/>
    <w:basedOn w:val="1"/>
    <w:link w:val="122"/>
    <w:qFormat/>
    <w:uiPriority w:val="0"/>
    <w:pPr>
      <w:spacing w:after="120" w:line="480" w:lineRule="auto"/>
      <w:ind w:left="420" w:leftChars="200"/>
    </w:pPr>
  </w:style>
  <w:style w:type="paragraph" w:styleId="31">
    <w:name w:val="Balloon Text"/>
    <w:basedOn w:val="1"/>
    <w:link w:val="114"/>
    <w:qFormat/>
    <w:uiPriority w:val="0"/>
    <w:rPr>
      <w:sz w:val="18"/>
      <w:szCs w:val="18"/>
    </w:rPr>
  </w:style>
  <w:style w:type="paragraph" w:styleId="32">
    <w:name w:val="footer"/>
    <w:basedOn w:val="1"/>
    <w:link w:val="88"/>
    <w:qFormat/>
    <w:uiPriority w:val="99"/>
    <w:pPr>
      <w:tabs>
        <w:tab w:val="center" w:pos="4153"/>
        <w:tab w:val="right" w:pos="8306"/>
      </w:tabs>
      <w:snapToGrid w:val="0"/>
      <w:jc w:val="left"/>
    </w:pPr>
    <w:rPr>
      <w:sz w:val="18"/>
      <w:szCs w:val="18"/>
    </w:rPr>
  </w:style>
  <w:style w:type="paragraph" w:styleId="33">
    <w:name w:val="header"/>
    <w:basedOn w:val="1"/>
    <w:link w:val="96"/>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52"/>
    <w:qFormat/>
    <w:uiPriority w:val="0"/>
    <w:pPr>
      <w:ind w:left="4320"/>
    </w:pPr>
    <w:rPr>
      <w:rFonts w:eastAsia="楷体_GB2312"/>
      <w:kern w:val="0"/>
      <w:sz w:val="20"/>
      <w:szCs w:val="20"/>
    </w:rPr>
  </w:style>
  <w:style w:type="paragraph" w:styleId="35">
    <w:name w:val="toc 1"/>
    <w:basedOn w:val="1"/>
    <w:next w:val="1"/>
    <w:qFormat/>
    <w:uiPriority w:val="39"/>
    <w:pPr>
      <w:spacing w:before="360"/>
      <w:jc w:val="left"/>
    </w:pPr>
    <w:rPr>
      <w:rFonts w:ascii="等线 Light" w:eastAsia="等线 Light"/>
      <w:b/>
      <w:bCs/>
      <w:caps/>
      <w:sz w:val="24"/>
    </w:rPr>
  </w:style>
  <w:style w:type="paragraph" w:styleId="36">
    <w:name w:val="toc 4"/>
    <w:basedOn w:val="1"/>
    <w:next w:val="1"/>
    <w:unhideWhenUsed/>
    <w:qFormat/>
    <w:uiPriority w:val="0"/>
    <w:pPr>
      <w:ind w:left="420"/>
      <w:jc w:val="left"/>
    </w:pPr>
    <w:rPr>
      <w:rFonts w:ascii="等线" w:eastAsia="等线"/>
      <w:sz w:val="20"/>
      <w:szCs w:val="20"/>
    </w:rPr>
  </w:style>
  <w:style w:type="paragraph" w:styleId="37">
    <w:name w:val="index heading"/>
    <w:basedOn w:val="1"/>
    <w:next w:val="38"/>
    <w:qFormat/>
    <w:uiPriority w:val="0"/>
    <w:rPr>
      <w:szCs w:val="20"/>
    </w:rPr>
  </w:style>
  <w:style w:type="paragraph" w:styleId="38">
    <w:name w:val="index 1"/>
    <w:basedOn w:val="1"/>
    <w:next w:val="1"/>
    <w:unhideWhenUsed/>
    <w:qFormat/>
    <w:uiPriority w:val="0"/>
  </w:style>
  <w:style w:type="paragraph" w:styleId="39">
    <w:name w:val="Subtitle"/>
    <w:basedOn w:val="40"/>
    <w:next w:val="21"/>
    <w:link w:val="139"/>
    <w:qFormat/>
    <w:uiPriority w:val="0"/>
    <w:pPr>
      <w:keepNext/>
      <w:suppressAutoHyphens/>
      <w:spacing w:after="0"/>
      <w:outlineLvl w:val="9"/>
    </w:pPr>
    <w:rPr>
      <w:rFonts w:ascii="Times New Roman" w:hAnsi="Times New Roman"/>
      <w:i/>
      <w:iCs/>
      <w:kern w:val="1"/>
      <w:sz w:val="28"/>
      <w:szCs w:val="28"/>
      <w:lang w:eastAsia="ar-SA"/>
    </w:rPr>
  </w:style>
  <w:style w:type="paragraph" w:styleId="40">
    <w:name w:val="Title"/>
    <w:basedOn w:val="1"/>
    <w:next w:val="1"/>
    <w:link w:val="90"/>
    <w:qFormat/>
    <w:uiPriority w:val="0"/>
    <w:pPr>
      <w:spacing w:before="240" w:after="60"/>
      <w:jc w:val="center"/>
      <w:outlineLvl w:val="0"/>
    </w:pPr>
    <w:rPr>
      <w:rFonts w:ascii="Cambria" w:hAnsi="Cambria"/>
      <w:b/>
      <w:bCs/>
      <w:sz w:val="32"/>
      <w:szCs w:val="32"/>
    </w:rPr>
  </w:style>
  <w:style w:type="paragraph" w:styleId="41">
    <w:name w:val="List"/>
    <w:basedOn w:val="1"/>
    <w:qFormat/>
    <w:uiPriority w:val="0"/>
    <w:pPr>
      <w:adjustRightInd w:val="0"/>
      <w:spacing w:line="460" w:lineRule="exact"/>
      <w:ind w:left="1276" w:hanging="425"/>
      <w:jc w:val="left"/>
      <w:textAlignment w:val="baseline"/>
    </w:pPr>
    <w:rPr>
      <w:kern w:val="0"/>
      <w:sz w:val="24"/>
      <w:szCs w:val="20"/>
    </w:rPr>
  </w:style>
  <w:style w:type="paragraph" w:styleId="42">
    <w:name w:val="footnote text"/>
    <w:basedOn w:val="1"/>
    <w:link w:val="179"/>
    <w:qFormat/>
    <w:uiPriority w:val="0"/>
    <w:rPr>
      <w:sz w:val="20"/>
      <w:szCs w:val="20"/>
    </w:rPr>
  </w:style>
  <w:style w:type="paragraph" w:styleId="43">
    <w:name w:val="toc 6"/>
    <w:basedOn w:val="1"/>
    <w:next w:val="1"/>
    <w:unhideWhenUsed/>
    <w:qFormat/>
    <w:uiPriority w:val="0"/>
    <w:pPr>
      <w:ind w:left="840"/>
      <w:jc w:val="left"/>
    </w:pPr>
    <w:rPr>
      <w:rFonts w:ascii="等线" w:eastAsia="等线"/>
      <w:sz w:val="20"/>
      <w:szCs w:val="20"/>
    </w:rPr>
  </w:style>
  <w:style w:type="paragraph" w:styleId="44">
    <w:name w:val="Body Text Indent 3"/>
    <w:basedOn w:val="1"/>
    <w:link w:val="124"/>
    <w:qFormat/>
    <w:uiPriority w:val="0"/>
    <w:pPr>
      <w:spacing w:after="120"/>
      <w:ind w:left="420" w:leftChars="200"/>
    </w:pPr>
    <w:rPr>
      <w:sz w:val="16"/>
      <w:szCs w:val="16"/>
    </w:rPr>
  </w:style>
  <w:style w:type="paragraph" w:styleId="45">
    <w:name w:val="table of figures"/>
    <w:basedOn w:val="1"/>
    <w:next w:val="1"/>
    <w:uiPriority w:val="0"/>
    <w:pPr>
      <w:ind w:left="200" w:leftChars="200" w:hanging="200" w:hangingChars="200"/>
    </w:pPr>
  </w:style>
  <w:style w:type="paragraph" w:styleId="46">
    <w:name w:val="toc 2"/>
    <w:basedOn w:val="1"/>
    <w:next w:val="1"/>
    <w:qFormat/>
    <w:uiPriority w:val="0"/>
    <w:pPr>
      <w:spacing w:before="240"/>
      <w:jc w:val="left"/>
    </w:pPr>
    <w:rPr>
      <w:rFonts w:ascii="等线" w:eastAsia="等线"/>
      <w:b/>
      <w:bCs/>
      <w:sz w:val="20"/>
      <w:szCs w:val="20"/>
    </w:rPr>
  </w:style>
  <w:style w:type="paragraph" w:styleId="47">
    <w:name w:val="toc 9"/>
    <w:basedOn w:val="1"/>
    <w:next w:val="1"/>
    <w:unhideWhenUsed/>
    <w:qFormat/>
    <w:uiPriority w:val="0"/>
    <w:pPr>
      <w:ind w:left="1470"/>
      <w:jc w:val="left"/>
    </w:pPr>
    <w:rPr>
      <w:rFonts w:ascii="等线" w:eastAsia="等线"/>
      <w:sz w:val="20"/>
      <w:szCs w:val="20"/>
    </w:rPr>
  </w:style>
  <w:style w:type="paragraph" w:styleId="48">
    <w:name w:val="Body Text 2"/>
    <w:basedOn w:val="1"/>
    <w:link w:val="115"/>
    <w:qFormat/>
    <w:uiPriority w:val="0"/>
    <w:pPr>
      <w:widowControl/>
      <w:spacing w:after="120" w:line="480" w:lineRule="auto"/>
      <w:jc w:val="left"/>
    </w:pPr>
    <w:rPr>
      <w:kern w:val="0"/>
      <w:szCs w:val="20"/>
    </w:rPr>
  </w:style>
  <w:style w:type="paragraph" w:styleId="49">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1">
    <w:name w:val="annotation subject"/>
    <w:basedOn w:val="19"/>
    <w:next w:val="19"/>
    <w:link w:val="130"/>
    <w:qFormat/>
    <w:uiPriority w:val="0"/>
    <w:pPr>
      <w:widowControl w:val="0"/>
    </w:pPr>
    <w:rPr>
      <w:b/>
      <w:bCs/>
    </w:rPr>
  </w:style>
  <w:style w:type="paragraph" w:styleId="52">
    <w:name w:val="Body Text First Indent"/>
    <w:basedOn w:val="21"/>
    <w:link w:val="149"/>
    <w:qFormat/>
    <w:uiPriority w:val="0"/>
    <w:pPr>
      <w:ind w:firstLine="420"/>
    </w:pPr>
    <w:rPr>
      <w:rFonts w:ascii="Calibri" w:hAnsi="Calibri"/>
      <w:color w:val="000000"/>
      <w:szCs w:val="22"/>
    </w:rPr>
  </w:style>
  <w:style w:type="paragraph" w:styleId="53">
    <w:name w:val="Body Text First Indent 2"/>
    <w:basedOn w:val="22"/>
    <w:link w:val="99"/>
    <w:qFormat/>
    <w:uiPriority w:val="0"/>
    <w:pPr>
      <w:ind w:firstLine="420" w:firstLineChars="200"/>
    </w:pPr>
    <w:rPr>
      <w:rFonts w:ascii="Calibri" w:hAnsi="Calibri"/>
      <w:szCs w:val="22"/>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unhideWhenUsed/>
    <w:qFormat/>
    <w:uiPriority w:val="99"/>
    <w:rPr>
      <w:color w:val="954F72"/>
      <w:u w:val="single"/>
    </w:rPr>
  </w:style>
  <w:style w:type="character" w:styleId="60">
    <w:name w:val="line number"/>
    <w:basedOn w:val="56"/>
    <w:qFormat/>
    <w:uiPriority w:val="0"/>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footnote reference"/>
    <w:qFormat/>
    <w:uiPriority w:val="0"/>
    <w:rPr>
      <w:vertAlign w:val="superscript"/>
    </w:rPr>
  </w:style>
  <w:style w:type="character" w:customStyle="1" w:styleId="64">
    <w:name w:val="批注文字 字符"/>
    <w:qFormat/>
    <w:uiPriority w:val="99"/>
    <w:rPr>
      <w:kern w:val="2"/>
      <w:sz w:val="21"/>
      <w:szCs w:val="24"/>
    </w:rPr>
  </w:style>
  <w:style w:type="character" w:customStyle="1" w:styleId="65">
    <w:name w:val="纯文本 字符"/>
    <w:qFormat/>
    <w:uiPriority w:val="0"/>
    <w:rPr>
      <w:rFonts w:ascii="宋体" w:hAnsi="Courier New" w:eastAsia="宋体"/>
      <w:kern w:val="2"/>
      <w:sz w:val="21"/>
      <w:lang w:val="en-US" w:eastAsia="zh-CN" w:bidi="ar-SA"/>
    </w:rPr>
  </w:style>
  <w:style w:type="character" w:customStyle="1" w:styleId="66">
    <w:name w:val="纯文本 Char1"/>
    <w:qFormat/>
    <w:uiPriority w:val="0"/>
    <w:rPr>
      <w:rFonts w:ascii="宋体" w:hAnsi="Courier New" w:eastAsia="宋体" w:cs="Courier New"/>
      <w:kern w:val="2"/>
      <w:sz w:val="21"/>
      <w:szCs w:val="21"/>
      <w:lang w:val="en-US" w:eastAsia="zh-CN" w:bidi="ar-SA"/>
    </w:rPr>
  </w:style>
  <w:style w:type="paragraph" w:customStyle="1" w:styleId="6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纯文本 Char"/>
    <w:qFormat/>
    <w:locked/>
    <w:uiPriority w:val="0"/>
    <w:rPr>
      <w:rFonts w:ascii="宋体" w:hAnsi="Courier New" w:eastAsia="宋体" w:cs="Times New Roman"/>
      <w:kern w:val="2"/>
      <w:sz w:val="21"/>
      <w:lang w:val="en-US" w:eastAsia="zh-CN"/>
    </w:rPr>
  </w:style>
  <w:style w:type="character" w:customStyle="1" w:styleId="69">
    <w:name w:val="列表段落 字符"/>
    <w:qFormat/>
    <w:uiPriority w:val="0"/>
    <w:rPr>
      <w:rFonts w:ascii="Times New Roman" w:hAnsi="Times New Roman" w:eastAsia="宋体" w:cs="Times New Roman"/>
      <w:kern w:val="0"/>
      <w:szCs w:val="20"/>
    </w:rPr>
  </w:style>
  <w:style w:type="character" w:customStyle="1" w:styleId="70">
    <w:name w:val="列出段落 Char"/>
    <w:link w:val="71"/>
    <w:qFormat/>
    <w:uiPriority w:val="34"/>
    <w:rPr>
      <w:rFonts w:ascii="Times New Roman" w:hAnsi="Times New Roman" w:eastAsia="宋体" w:cs="Times New Roman"/>
      <w:szCs w:val="24"/>
    </w:rPr>
  </w:style>
  <w:style w:type="paragraph" w:customStyle="1" w:styleId="71">
    <w:name w:val="列出段落2"/>
    <w:basedOn w:val="1"/>
    <w:link w:val="70"/>
    <w:qFormat/>
    <w:uiPriority w:val="34"/>
    <w:pPr>
      <w:ind w:firstLine="420" w:firstLineChars="200"/>
    </w:pPr>
    <w:rPr>
      <w:kern w:val="0"/>
      <w:sz w:val="20"/>
    </w:rPr>
  </w:style>
  <w:style w:type="character" w:customStyle="1" w:styleId="72">
    <w:name w:val="页脚 Char"/>
    <w:qFormat/>
    <w:uiPriority w:val="99"/>
    <w:rPr>
      <w:rFonts w:eastAsia="宋体"/>
      <w:kern w:val="2"/>
      <w:sz w:val="18"/>
      <w:szCs w:val="18"/>
      <w:lang w:val="en-US" w:eastAsia="zh-CN" w:bidi="ar-SA"/>
    </w:rPr>
  </w:style>
  <w:style w:type="character" w:customStyle="1" w:styleId="73">
    <w:name w:val="标题 1 Char"/>
    <w:basedOn w:val="56"/>
    <w:qFormat/>
    <w:uiPriority w:val="0"/>
    <w:rPr>
      <w:b/>
      <w:bCs/>
      <w:kern w:val="44"/>
      <w:sz w:val="44"/>
      <w:szCs w:val="44"/>
    </w:rPr>
  </w:style>
  <w:style w:type="character" w:customStyle="1" w:styleId="74">
    <w:name w:val="标题 1 字符1"/>
    <w:link w:val="2"/>
    <w:qFormat/>
    <w:uiPriority w:val="0"/>
    <w:rPr>
      <w:b/>
      <w:bCs/>
      <w:kern w:val="44"/>
      <w:sz w:val="44"/>
      <w:szCs w:val="44"/>
    </w:rPr>
  </w:style>
  <w:style w:type="character" w:customStyle="1" w:styleId="75">
    <w:name w:val="标题 2 字符"/>
    <w:basedOn w:val="56"/>
    <w:link w:val="3"/>
    <w:qFormat/>
    <w:uiPriority w:val="0"/>
    <w:rPr>
      <w:rFonts w:ascii="宋体" w:hAnsi="Arial"/>
      <w:b/>
      <w:sz w:val="28"/>
    </w:rPr>
  </w:style>
  <w:style w:type="character" w:customStyle="1" w:styleId="76">
    <w:name w:val="标题 3 字符"/>
    <w:basedOn w:val="56"/>
    <w:link w:val="5"/>
    <w:qFormat/>
    <w:uiPriority w:val="0"/>
    <w:rPr>
      <w:b/>
      <w:sz w:val="32"/>
    </w:rPr>
  </w:style>
  <w:style w:type="character" w:customStyle="1" w:styleId="77">
    <w:name w:val="标题 4 字符"/>
    <w:basedOn w:val="56"/>
    <w:link w:val="6"/>
    <w:qFormat/>
    <w:uiPriority w:val="9"/>
    <w:rPr>
      <w:rFonts w:ascii="Arial" w:hAnsi="Arial" w:eastAsia="黑体"/>
      <w:b/>
      <w:kern w:val="2"/>
      <w:sz w:val="28"/>
    </w:rPr>
  </w:style>
  <w:style w:type="character" w:customStyle="1" w:styleId="78">
    <w:name w:val="标题 5 字符"/>
    <w:basedOn w:val="56"/>
    <w:link w:val="7"/>
    <w:qFormat/>
    <w:uiPriority w:val="0"/>
    <w:rPr>
      <w:b/>
      <w:kern w:val="2"/>
      <w:sz w:val="28"/>
    </w:rPr>
  </w:style>
  <w:style w:type="character" w:customStyle="1" w:styleId="79">
    <w:name w:val="标题 6 字符"/>
    <w:basedOn w:val="56"/>
    <w:link w:val="8"/>
    <w:qFormat/>
    <w:uiPriority w:val="0"/>
    <w:rPr>
      <w:rFonts w:ascii="Arial" w:hAnsi="Arial" w:eastAsia="黑体"/>
      <w:b/>
      <w:kern w:val="2"/>
      <w:sz w:val="24"/>
    </w:rPr>
  </w:style>
  <w:style w:type="character" w:customStyle="1" w:styleId="80">
    <w:name w:val="标题 7 Char"/>
    <w:basedOn w:val="56"/>
    <w:qFormat/>
    <w:uiPriority w:val="0"/>
    <w:rPr>
      <w:b/>
      <w:bCs/>
      <w:kern w:val="2"/>
      <w:sz w:val="24"/>
      <w:szCs w:val="24"/>
    </w:rPr>
  </w:style>
  <w:style w:type="character" w:customStyle="1" w:styleId="81">
    <w:name w:val="标题 7 字符"/>
    <w:link w:val="9"/>
    <w:qFormat/>
    <w:uiPriority w:val="0"/>
    <w:rPr>
      <w:b/>
      <w:kern w:val="2"/>
      <w:sz w:val="24"/>
      <w:szCs w:val="24"/>
    </w:rPr>
  </w:style>
  <w:style w:type="character" w:customStyle="1" w:styleId="82">
    <w:name w:val="标题 8 字符"/>
    <w:basedOn w:val="56"/>
    <w:link w:val="10"/>
    <w:qFormat/>
    <w:uiPriority w:val="0"/>
    <w:rPr>
      <w:rFonts w:ascii="Arial" w:hAnsi="Arial" w:eastAsia="黑体"/>
      <w:kern w:val="2"/>
      <w:sz w:val="24"/>
    </w:rPr>
  </w:style>
  <w:style w:type="character" w:customStyle="1" w:styleId="83">
    <w:name w:val="标题 9 字符"/>
    <w:basedOn w:val="56"/>
    <w:link w:val="11"/>
    <w:qFormat/>
    <w:uiPriority w:val="0"/>
    <w:rPr>
      <w:rFonts w:ascii="Arial" w:hAnsi="Arial" w:eastAsia="黑体"/>
      <w:kern w:val="2"/>
      <w:sz w:val="21"/>
    </w:rPr>
  </w:style>
  <w:style w:type="character" w:customStyle="1" w:styleId="84">
    <w:name w:val="正文缩进 字符"/>
    <w:link w:val="4"/>
    <w:qFormat/>
    <w:uiPriority w:val="0"/>
    <w:rPr>
      <w:sz w:val="21"/>
    </w:rPr>
  </w:style>
  <w:style w:type="character" w:customStyle="1" w:styleId="85">
    <w:name w:val="批注文字 Char"/>
    <w:basedOn w:val="56"/>
    <w:qFormat/>
    <w:uiPriority w:val="0"/>
    <w:rPr>
      <w:kern w:val="2"/>
      <w:sz w:val="21"/>
      <w:szCs w:val="24"/>
    </w:rPr>
  </w:style>
  <w:style w:type="character" w:customStyle="1" w:styleId="86">
    <w:name w:val="批注文字 字符1"/>
    <w:link w:val="19"/>
    <w:qFormat/>
    <w:uiPriority w:val="0"/>
    <w:rPr>
      <w:sz w:val="21"/>
    </w:rPr>
  </w:style>
  <w:style w:type="character" w:customStyle="1" w:styleId="87">
    <w:name w:val="页脚 Char1"/>
    <w:basedOn w:val="56"/>
    <w:qFormat/>
    <w:uiPriority w:val="0"/>
    <w:rPr>
      <w:kern w:val="2"/>
      <w:sz w:val="18"/>
      <w:szCs w:val="18"/>
    </w:rPr>
  </w:style>
  <w:style w:type="character" w:customStyle="1" w:styleId="88">
    <w:name w:val="页脚 字符"/>
    <w:link w:val="32"/>
    <w:qFormat/>
    <w:uiPriority w:val="99"/>
    <w:rPr>
      <w:kern w:val="2"/>
      <w:sz w:val="18"/>
      <w:szCs w:val="18"/>
    </w:rPr>
  </w:style>
  <w:style w:type="character" w:customStyle="1" w:styleId="89">
    <w:name w:val="标题 Char"/>
    <w:basedOn w:val="56"/>
    <w:qFormat/>
    <w:uiPriority w:val="0"/>
    <w:rPr>
      <w:rFonts w:asciiTheme="majorHAnsi" w:hAnsiTheme="majorHAnsi" w:cstheme="majorBidi"/>
      <w:b/>
      <w:bCs/>
      <w:kern w:val="2"/>
      <w:sz w:val="32"/>
      <w:szCs w:val="32"/>
    </w:rPr>
  </w:style>
  <w:style w:type="character" w:customStyle="1" w:styleId="90">
    <w:name w:val="标题 字符"/>
    <w:link w:val="40"/>
    <w:qFormat/>
    <w:uiPriority w:val="0"/>
    <w:rPr>
      <w:rFonts w:ascii="Cambria" w:hAnsi="Cambria"/>
      <w:b/>
      <w:bCs/>
      <w:kern w:val="2"/>
      <w:sz w:val="32"/>
      <w:szCs w:val="32"/>
    </w:rPr>
  </w:style>
  <w:style w:type="character" w:customStyle="1" w:styleId="91">
    <w:name w:val="纯文本 Char2"/>
    <w:basedOn w:val="56"/>
    <w:uiPriority w:val="0"/>
    <w:rPr>
      <w:rFonts w:ascii="宋体" w:hAnsi="Courier New" w:cs="Courier New"/>
      <w:kern w:val="2"/>
      <w:sz w:val="21"/>
      <w:szCs w:val="21"/>
    </w:rPr>
  </w:style>
  <w:style w:type="character" w:customStyle="1" w:styleId="92">
    <w:name w:val="纯文本 字符1"/>
    <w:link w:val="27"/>
    <w:qFormat/>
    <w:uiPriority w:val="0"/>
    <w:rPr>
      <w:rFonts w:ascii="宋体" w:hAnsi="Courier New" w:cs="Courier New"/>
      <w:kern w:val="2"/>
      <w:sz w:val="21"/>
      <w:szCs w:val="21"/>
    </w:rPr>
  </w:style>
  <w:style w:type="paragraph" w:styleId="93">
    <w:name w:val="List Paragraph"/>
    <w:basedOn w:val="1"/>
    <w:link w:val="94"/>
    <w:qFormat/>
    <w:uiPriority w:val="34"/>
    <w:pPr>
      <w:spacing w:line="360" w:lineRule="auto"/>
      <w:ind w:firstLine="420" w:firstLineChars="200"/>
    </w:pPr>
    <w:rPr>
      <w:sz w:val="24"/>
    </w:rPr>
  </w:style>
  <w:style w:type="character" w:customStyle="1" w:styleId="94">
    <w:name w:val="列表段落 字符1"/>
    <w:link w:val="93"/>
    <w:uiPriority w:val="0"/>
    <w:rPr>
      <w:kern w:val="2"/>
      <w:sz w:val="24"/>
      <w:szCs w:val="24"/>
    </w:rPr>
  </w:style>
  <w:style w:type="paragraph" w:customStyle="1" w:styleId="95">
    <w:name w:val="TOC 标题1"/>
    <w:basedOn w:val="2"/>
    <w:next w:val="1"/>
    <w:qFormat/>
    <w:uiPriority w:val="0"/>
    <w:pPr>
      <w:widowControl/>
      <w:spacing w:before="480" w:after="0" w:line="276" w:lineRule="auto"/>
      <w:ind w:left="0" w:firstLine="0"/>
      <w:jc w:val="left"/>
      <w:outlineLvl w:val="9"/>
    </w:pPr>
    <w:rPr>
      <w:rFonts w:ascii="Cambria" w:hAnsi="Cambria"/>
      <w:color w:val="365F91"/>
      <w:kern w:val="0"/>
      <w:sz w:val="28"/>
      <w:szCs w:val="28"/>
    </w:rPr>
  </w:style>
  <w:style w:type="character" w:customStyle="1" w:styleId="96">
    <w:name w:val="页眉 字符"/>
    <w:basedOn w:val="56"/>
    <w:link w:val="33"/>
    <w:qFormat/>
    <w:uiPriority w:val="99"/>
    <w:rPr>
      <w:kern w:val="2"/>
      <w:sz w:val="18"/>
      <w:szCs w:val="18"/>
    </w:rPr>
  </w:style>
  <w:style w:type="character" w:customStyle="1" w:styleId="97">
    <w:name w:val="访问过的超链接1"/>
    <w:qFormat/>
    <w:uiPriority w:val="0"/>
    <w:rPr>
      <w:color w:val="800080"/>
      <w:u w:val="single"/>
    </w:rPr>
  </w:style>
  <w:style w:type="character" w:customStyle="1" w:styleId="98">
    <w:name w:val="f-mainb1"/>
    <w:qFormat/>
    <w:uiPriority w:val="0"/>
    <w:rPr>
      <w:rFonts w:hint="default" w:ascii="ˎ̥" w:hAnsi="ˎ̥"/>
      <w:b/>
      <w:bCs/>
      <w:color w:val="385269"/>
      <w:sz w:val="20"/>
      <w:szCs w:val="20"/>
    </w:rPr>
  </w:style>
  <w:style w:type="character" w:customStyle="1" w:styleId="99">
    <w:name w:val="正文文本首行缩进 2 字符"/>
    <w:link w:val="53"/>
    <w:qFormat/>
    <w:uiPriority w:val="0"/>
    <w:rPr>
      <w:rFonts w:ascii="Calibri" w:hAnsi="Calibri"/>
      <w:kern w:val="2"/>
      <w:sz w:val="21"/>
      <w:szCs w:val="22"/>
    </w:rPr>
  </w:style>
  <w:style w:type="character" w:customStyle="1" w:styleId="100">
    <w:name w:val="正文首行缩进 2 Char1"/>
    <w:basedOn w:val="101"/>
    <w:semiHidden/>
    <w:qFormat/>
    <w:uiPriority w:val="99"/>
    <w:rPr>
      <w:kern w:val="2"/>
      <w:sz w:val="21"/>
      <w:szCs w:val="24"/>
    </w:rPr>
  </w:style>
  <w:style w:type="character" w:customStyle="1" w:styleId="101">
    <w:name w:val="正文文本缩进 Char1"/>
    <w:qFormat/>
    <w:uiPriority w:val="0"/>
    <w:rPr>
      <w:kern w:val="2"/>
      <w:sz w:val="21"/>
      <w:szCs w:val="24"/>
    </w:rPr>
  </w:style>
  <w:style w:type="character" w:customStyle="1" w:styleId="102">
    <w:name w:val="Char Char10"/>
    <w:qFormat/>
    <w:locked/>
    <w:uiPriority w:val="0"/>
    <w:rPr>
      <w:rFonts w:eastAsia="宋体"/>
      <w:b/>
      <w:bCs/>
      <w:kern w:val="44"/>
      <w:sz w:val="44"/>
      <w:szCs w:val="44"/>
      <w:lang w:val="en-US" w:eastAsia="zh-CN" w:bidi="ar-SA"/>
    </w:rPr>
  </w:style>
  <w:style w:type="character" w:customStyle="1" w:styleId="103">
    <w:name w:val="Font Style17"/>
    <w:uiPriority w:val="0"/>
    <w:rPr>
      <w:rFonts w:ascii="黑体" w:eastAsia="黑体" w:cs="黑体"/>
      <w:sz w:val="28"/>
      <w:szCs w:val="28"/>
    </w:rPr>
  </w:style>
  <w:style w:type="character" w:customStyle="1" w:styleId="104">
    <w:name w:val="普通文字 Char1"/>
    <w:qFormat/>
    <w:uiPriority w:val="0"/>
    <w:rPr>
      <w:rFonts w:ascii="宋体" w:hAnsi="Courier New" w:eastAsia="宋体"/>
      <w:kern w:val="2"/>
      <w:sz w:val="21"/>
      <w:lang w:val="en-US" w:eastAsia="zh-CN" w:bidi="ar-SA"/>
    </w:rPr>
  </w:style>
  <w:style w:type="character" w:customStyle="1" w:styleId="105">
    <w:name w:val="HTML 预设格式 字符"/>
    <w:link w:val="49"/>
    <w:uiPriority w:val="0"/>
    <w:rPr>
      <w:rFonts w:ascii="Arial Unicode MS" w:hAnsi="Arial Unicode MS" w:eastAsia="Arial Unicode MS" w:cs="Arial Unicode MS"/>
      <w:color w:val="000000"/>
    </w:rPr>
  </w:style>
  <w:style w:type="character" w:customStyle="1" w:styleId="106">
    <w:name w:val="未处理的提及1"/>
    <w:unhideWhenUsed/>
    <w:qFormat/>
    <w:uiPriority w:val="99"/>
    <w:rPr>
      <w:color w:val="808080"/>
      <w:shd w:val="clear" w:color="auto" w:fill="E6E6E6"/>
    </w:rPr>
  </w:style>
  <w:style w:type="character" w:customStyle="1" w:styleId="107">
    <w:name w:val="文档结构图 字符"/>
    <w:link w:val="18"/>
    <w:uiPriority w:val="0"/>
    <w:rPr>
      <w:kern w:val="2"/>
      <w:sz w:val="21"/>
      <w:szCs w:val="24"/>
      <w:shd w:val="clear" w:color="auto" w:fill="000080"/>
    </w:rPr>
  </w:style>
  <w:style w:type="character" w:customStyle="1" w:styleId="108">
    <w:name w:val="shownews1"/>
    <w:qFormat/>
    <w:uiPriority w:val="0"/>
    <w:rPr>
      <w:color w:val="0034A5"/>
      <w:sz w:val="21"/>
      <w:szCs w:val="21"/>
      <w:u w:val="none"/>
    </w:rPr>
  </w:style>
  <w:style w:type="character" w:customStyle="1" w:styleId="109">
    <w:name w:val="10"/>
    <w:uiPriority w:val="0"/>
    <w:rPr>
      <w:rFonts w:hint="default" w:ascii="Times New Roman" w:hAnsi="Times New Roman" w:cs="Times New Roman"/>
    </w:rPr>
  </w:style>
  <w:style w:type="character" w:customStyle="1" w:styleId="110">
    <w:name w:val="正文文本 Char1"/>
    <w:qFormat/>
    <w:uiPriority w:val="0"/>
    <w:rPr>
      <w:rFonts w:ascii="ˎ̥" w:hAnsi="ˎ̥"/>
      <w:color w:val="000000"/>
      <w:kern w:val="2"/>
      <w:sz w:val="24"/>
    </w:rPr>
  </w:style>
  <w:style w:type="character" w:customStyle="1" w:styleId="111">
    <w:name w:val="列出段落 字符"/>
    <w:qFormat/>
    <w:uiPriority w:val="0"/>
    <w:rPr>
      <w:rFonts w:ascii="Calibri" w:hAnsi="Calibri"/>
      <w:kern w:val="2"/>
      <w:sz w:val="21"/>
      <w:szCs w:val="22"/>
    </w:rPr>
  </w:style>
  <w:style w:type="character" w:customStyle="1" w:styleId="112">
    <w:name w:val="正文文本 3 字符"/>
    <w:link w:val="20"/>
    <w:qFormat/>
    <w:uiPriority w:val="0"/>
    <w:rPr>
      <w:kern w:val="2"/>
      <w:sz w:val="16"/>
      <w:szCs w:val="16"/>
    </w:rPr>
  </w:style>
  <w:style w:type="character" w:customStyle="1" w:styleId="113">
    <w:name w:val="HTML 预设格式 字符1"/>
    <w:semiHidden/>
    <w:uiPriority w:val="99"/>
    <w:rPr>
      <w:rFonts w:ascii="Courier New" w:hAnsi="Courier New" w:cs="Courier New"/>
      <w:kern w:val="2"/>
    </w:rPr>
  </w:style>
  <w:style w:type="character" w:customStyle="1" w:styleId="114">
    <w:name w:val="批注框文本 字符"/>
    <w:link w:val="31"/>
    <w:qFormat/>
    <w:uiPriority w:val="0"/>
    <w:rPr>
      <w:kern w:val="2"/>
      <w:sz w:val="18"/>
      <w:szCs w:val="18"/>
    </w:rPr>
  </w:style>
  <w:style w:type="character" w:customStyle="1" w:styleId="115">
    <w:name w:val="正文文本 2 字符"/>
    <w:link w:val="48"/>
    <w:qFormat/>
    <w:uiPriority w:val="0"/>
    <w:rPr>
      <w:sz w:val="21"/>
    </w:rPr>
  </w:style>
  <w:style w:type="character" w:customStyle="1" w:styleId="116">
    <w:name w:val="Item List in Table Char"/>
    <w:link w:val="117"/>
    <w:qFormat/>
    <w:uiPriority w:val="0"/>
    <w:rPr>
      <w:szCs w:val="21"/>
    </w:rPr>
  </w:style>
  <w:style w:type="paragraph" w:customStyle="1" w:styleId="117">
    <w:name w:val="Item List in Table"/>
    <w:basedOn w:val="1"/>
    <w:link w:val="116"/>
    <w:qFormat/>
    <w:uiPriority w:val="0"/>
    <w:pPr>
      <w:widowControl/>
      <w:tabs>
        <w:tab w:val="left" w:pos="170"/>
      </w:tabs>
      <w:topLinePunct/>
      <w:adjustRightInd w:val="0"/>
      <w:snapToGrid w:val="0"/>
      <w:spacing w:before="80" w:after="80" w:line="240" w:lineRule="atLeast"/>
      <w:ind w:left="170" w:hanging="170"/>
      <w:jc w:val="left"/>
    </w:pPr>
    <w:rPr>
      <w:kern w:val="0"/>
      <w:sz w:val="20"/>
      <w:szCs w:val="21"/>
    </w:rPr>
  </w:style>
  <w:style w:type="character" w:customStyle="1" w:styleId="118">
    <w:name w:val="列出段落 Char2"/>
    <w:link w:val="119"/>
    <w:qFormat/>
    <w:uiPriority w:val="34"/>
    <w:rPr>
      <w:kern w:val="2"/>
      <w:sz w:val="24"/>
      <w:szCs w:val="24"/>
    </w:rPr>
  </w:style>
  <w:style w:type="paragraph" w:customStyle="1" w:styleId="119">
    <w:name w:val="_Style 467"/>
    <w:basedOn w:val="1"/>
    <w:next w:val="93"/>
    <w:link w:val="118"/>
    <w:qFormat/>
    <w:uiPriority w:val="34"/>
    <w:pPr>
      <w:ind w:firstLine="420" w:firstLineChars="200"/>
    </w:pPr>
    <w:rPr>
      <w:rFonts w:asciiTheme="minorHAnsi" w:hAnsiTheme="minorHAnsi" w:eastAsiaTheme="minorEastAsia" w:cstheme="minorBidi"/>
      <w:sz w:val="24"/>
    </w:rPr>
  </w:style>
  <w:style w:type="character" w:customStyle="1" w:styleId="120">
    <w:name w:val="Char Char9"/>
    <w:qFormat/>
    <w:locked/>
    <w:uiPriority w:val="0"/>
    <w:rPr>
      <w:rFonts w:ascii="Arial" w:hAnsi="Arial" w:eastAsia="黑体"/>
      <w:kern w:val="2"/>
      <w:sz w:val="32"/>
      <w:szCs w:val="32"/>
      <w:lang w:val="en-US" w:eastAsia="zh-CN" w:bidi="ar-SA"/>
    </w:rPr>
  </w:style>
  <w:style w:type="character" w:customStyle="1" w:styleId="121">
    <w:name w:val="font81"/>
    <w:qFormat/>
    <w:uiPriority w:val="0"/>
    <w:rPr>
      <w:rFonts w:hint="eastAsia" w:ascii="宋体" w:hAnsi="宋体" w:eastAsia="宋体" w:cs="宋体"/>
      <w:color w:val="000000"/>
      <w:sz w:val="20"/>
      <w:szCs w:val="20"/>
      <w:u w:val="none"/>
    </w:rPr>
  </w:style>
  <w:style w:type="character" w:customStyle="1" w:styleId="122">
    <w:name w:val="正文文本缩进 2 字符"/>
    <w:link w:val="30"/>
    <w:uiPriority w:val="0"/>
    <w:rPr>
      <w:kern w:val="2"/>
      <w:sz w:val="21"/>
      <w:szCs w:val="24"/>
    </w:rPr>
  </w:style>
  <w:style w:type="character" w:customStyle="1" w:styleId="123">
    <w:name w:val="f-main1"/>
    <w:qFormat/>
    <w:uiPriority w:val="0"/>
    <w:rPr>
      <w:rFonts w:hint="default" w:ascii="ˎ̥" w:hAnsi="ˎ̥"/>
      <w:color w:val="385269"/>
      <w:sz w:val="20"/>
      <w:szCs w:val="20"/>
    </w:rPr>
  </w:style>
  <w:style w:type="character" w:customStyle="1" w:styleId="124">
    <w:name w:val="正文文本缩进 3 字符"/>
    <w:link w:val="44"/>
    <w:qFormat/>
    <w:uiPriority w:val="0"/>
    <w:rPr>
      <w:kern w:val="2"/>
      <w:sz w:val="16"/>
      <w:szCs w:val="16"/>
    </w:rPr>
  </w:style>
  <w:style w:type="character" w:customStyle="1" w:styleId="125">
    <w:name w:val="标题1"/>
    <w:qFormat/>
    <w:uiPriority w:val="0"/>
  </w:style>
  <w:style w:type="character" w:customStyle="1" w:styleId="126">
    <w:name w:val="页眉 Char1"/>
    <w:qFormat/>
    <w:uiPriority w:val="0"/>
    <w:rPr>
      <w:rFonts w:eastAsia="宋体"/>
      <w:sz w:val="18"/>
      <w:szCs w:val="18"/>
      <w:lang w:val="en-US" w:eastAsia="zh-CN" w:bidi="ar-SA"/>
    </w:rPr>
  </w:style>
  <w:style w:type="character" w:customStyle="1" w:styleId="127">
    <w:name w:val="正文首行缩进 Char"/>
    <w:link w:val="128"/>
    <w:qFormat/>
    <w:uiPriority w:val="0"/>
    <w:rPr>
      <w:rFonts w:ascii="宋体"/>
      <w:kern w:val="2"/>
      <w:sz w:val="21"/>
      <w:szCs w:val="24"/>
    </w:rPr>
  </w:style>
  <w:style w:type="paragraph" w:customStyle="1" w:styleId="128">
    <w:name w:val="正文首行缩进1"/>
    <w:basedOn w:val="21"/>
    <w:link w:val="127"/>
    <w:unhideWhenUsed/>
    <w:qFormat/>
    <w:uiPriority w:val="0"/>
    <w:pPr>
      <w:ind w:firstLine="420" w:firstLineChars="100"/>
    </w:pPr>
    <w:rPr>
      <w:rFonts w:ascii="宋体"/>
    </w:rPr>
  </w:style>
  <w:style w:type="character" w:customStyle="1" w:styleId="129">
    <w:name w:val="已访问的超链接1"/>
    <w:qFormat/>
    <w:uiPriority w:val="0"/>
    <w:rPr>
      <w:color w:val="800080"/>
      <w:u w:val="single"/>
    </w:rPr>
  </w:style>
  <w:style w:type="character" w:customStyle="1" w:styleId="130">
    <w:name w:val="批注主题 字符"/>
    <w:link w:val="51"/>
    <w:uiPriority w:val="0"/>
    <w:rPr>
      <w:b/>
      <w:bCs/>
      <w:sz w:val="21"/>
    </w:rPr>
  </w:style>
  <w:style w:type="character" w:customStyle="1" w:styleId="131">
    <w:name w:val="Char Char7"/>
    <w:qFormat/>
    <w:uiPriority w:val="0"/>
    <w:rPr>
      <w:rFonts w:ascii="Arial" w:hAnsi="Arial" w:eastAsia="黑体"/>
      <w:b/>
      <w:bCs/>
      <w:kern w:val="2"/>
      <w:sz w:val="32"/>
      <w:szCs w:val="32"/>
      <w:lang w:val="en-US" w:eastAsia="zh-CN" w:bidi="ar-SA"/>
    </w:rPr>
  </w:style>
  <w:style w:type="character" w:customStyle="1" w:styleId="132">
    <w:name w:val="副标题 Char1"/>
    <w:qFormat/>
    <w:uiPriority w:val="11"/>
    <w:rPr>
      <w:rFonts w:ascii="Cambria" w:hAnsi="Cambria" w:cs="Times New Roman"/>
      <w:b/>
      <w:bCs/>
      <w:kern w:val="28"/>
      <w:sz w:val="32"/>
      <w:szCs w:val="32"/>
    </w:rPr>
  </w:style>
  <w:style w:type="character" w:customStyle="1" w:styleId="133">
    <w:name w:val="页脚 Char Char"/>
    <w:qFormat/>
    <w:uiPriority w:val="0"/>
    <w:rPr>
      <w:rFonts w:eastAsia="宋体"/>
      <w:kern w:val="2"/>
      <w:sz w:val="18"/>
      <w:szCs w:val="18"/>
      <w:lang w:val="en-US" w:eastAsia="zh-CN" w:bidi="ar-SA"/>
    </w:rPr>
  </w:style>
  <w:style w:type="character" w:customStyle="1" w:styleId="134">
    <w:name w:val="文档正文 Char Char"/>
    <w:link w:val="135"/>
    <w:qFormat/>
    <w:uiPriority w:val="0"/>
    <w:rPr>
      <w:rFonts w:ascii="宋体" w:hAnsi="宋体"/>
      <w:spacing w:val="4"/>
      <w:sz w:val="24"/>
    </w:rPr>
  </w:style>
  <w:style w:type="paragraph" w:customStyle="1" w:styleId="135">
    <w:name w:val="文档正文"/>
    <w:basedOn w:val="1"/>
    <w:link w:val="134"/>
    <w:qFormat/>
    <w:uiPriority w:val="0"/>
    <w:pPr>
      <w:adjustRightInd w:val="0"/>
      <w:spacing w:line="440" w:lineRule="atLeast"/>
      <w:ind w:firstLine="567"/>
    </w:pPr>
    <w:rPr>
      <w:rFonts w:ascii="宋体" w:hAnsi="宋体"/>
      <w:spacing w:val="4"/>
      <w:kern w:val="0"/>
      <w:sz w:val="24"/>
      <w:szCs w:val="20"/>
    </w:rPr>
  </w:style>
  <w:style w:type="character" w:customStyle="1" w:styleId="136">
    <w:name w:val="标题三 Char"/>
    <w:qFormat/>
    <w:uiPriority w:val="0"/>
    <w:rPr>
      <w:rFonts w:ascii="宋体" w:hAnsi="宋体" w:eastAsia="宋体"/>
      <w:b/>
      <w:bCs/>
      <w:kern w:val="2"/>
      <w:sz w:val="24"/>
      <w:szCs w:val="32"/>
      <w:lang w:val="en-US" w:eastAsia="zh-CN" w:bidi="ar-SA"/>
    </w:rPr>
  </w:style>
  <w:style w:type="character" w:customStyle="1" w:styleId="137">
    <w:name w:val="Heading 14 Char"/>
    <w:qFormat/>
    <w:uiPriority w:val="0"/>
    <w:rPr>
      <w:rFonts w:ascii="Arial" w:hAnsi="Arial" w:eastAsia="黑体"/>
      <w:b/>
      <w:bCs/>
      <w:sz w:val="28"/>
      <w:szCs w:val="28"/>
      <w:lang w:val="en-US" w:eastAsia="zh-CN" w:bidi="ar-SA"/>
    </w:rPr>
  </w:style>
  <w:style w:type="character" w:customStyle="1" w:styleId="138">
    <w:name w:val="fontstyle01"/>
    <w:qFormat/>
    <w:uiPriority w:val="0"/>
    <w:rPr>
      <w:rFonts w:hint="eastAsia" w:ascii="宋体" w:hAnsi="宋体" w:eastAsia="宋体"/>
      <w:color w:val="000000"/>
      <w:sz w:val="22"/>
      <w:szCs w:val="22"/>
    </w:rPr>
  </w:style>
  <w:style w:type="character" w:customStyle="1" w:styleId="139">
    <w:name w:val="副标题 字符"/>
    <w:link w:val="39"/>
    <w:qFormat/>
    <w:uiPriority w:val="0"/>
    <w:rPr>
      <w:b/>
      <w:bCs/>
      <w:i/>
      <w:iCs/>
      <w:kern w:val="1"/>
      <w:sz w:val="28"/>
      <w:szCs w:val="28"/>
      <w:lang w:eastAsia="ar-SA"/>
    </w:rPr>
  </w:style>
  <w:style w:type="character" w:customStyle="1" w:styleId="140">
    <w:name w:val="表格名称 Char Char"/>
    <w:link w:val="141"/>
    <w:qFormat/>
    <w:uiPriority w:val="0"/>
    <w:rPr>
      <w:rFonts w:ascii="宋体" w:hAnsi="宋体"/>
      <w:b/>
      <w:kern w:val="2"/>
      <w:sz w:val="24"/>
      <w:szCs w:val="21"/>
    </w:rPr>
  </w:style>
  <w:style w:type="paragraph" w:customStyle="1" w:styleId="141">
    <w:name w:val="表格名称"/>
    <w:basedOn w:val="1"/>
    <w:link w:val="140"/>
    <w:qFormat/>
    <w:uiPriority w:val="0"/>
    <w:pPr>
      <w:tabs>
        <w:tab w:val="left" w:pos="481"/>
      </w:tabs>
      <w:spacing w:line="360" w:lineRule="auto"/>
      <w:ind w:left="481"/>
      <w:jc w:val="center"/>
    </w:pPr>
    <w:rPr>
      <w:rFonts w:ascii="宋体" w:hAnsi="宋体"/>
      <w:b/>
      <w:sz w:val="24"/>
      <w:szCs w:val="21"/>
    </w:rPr>
  </w:style>
  <w:style w:type="character" w:customStyle="1" w:styleId="142">
    <w:name w:val="HTML 预设格式 Char"/>
    <w:qFormat/>
    <w:uiPriority w:val="0"/>
    <w:rPr>
      <w:rFonts w:ascii="黑体" w:hAnsi="Courier New" w:eastAsia="黑体" w:cs="Courier New"/>
    </w:rPr>
  </w:style>
  <w:style w:type="character" w:customStyle="1" w:styleId="143">
    <w:name w:val="font21"/>
    <w:qFormat/>
    <w:uiPriority w:val="0"/>
    <w:rPr>
      <w:rFonts w:hint="eastAsia" w:ascii="宋体" w:hAnsi="宋体" w:eastAsia="宋体"/>
      <w:color w:val="000000"/>
      <w:sz w:val="18"/>
      <w:szCs w:val="18"/>
      <w:u w:val="none"/>
    </w:rPr>
  </w:style>
  <w:style w:type="character" w:customStyle="1" w:styleId="144">
    <w:name w:val="H1 Char"/>
    <w:qFormat/>
    <w:uiPriority w:val="0"/>
    <w:rPr>
      <w:rFonts w:eastAsia="宋体"/>
      <w:b/>
      <w:bCs/>
      <w:kern w:val="44"/>
      <w:sz w:val="44"/>
      <w:szCs w:val="44"/>
      <w:lang w:val="en-US" w:eastAsia="zh-CN" w:bidi="ar-SA"/>
    </w:rPr>
  </w:style>
  <w:style w:type="character" w:customStyle="1" w:styleId="145">
    <w:name w:val="标题 1 字符"/>
    <w:uiPriority w:val="0"/>
    <w:rPr>
      <w:rFonts w:ascii="Times New Roman" w:hAnsi="Times New Roman" w:eastAsia="宋体" w:cs="Times New Roman"/>
      <w:b/>
      <w:bCs/>
      <w:kern w:val="44"/>
      <w:sz w:val="44"/>
      <w:szCs w:val="44"/>
    </w:rPr>
  </w:style>
  <w:style w:type="character" w:customStyle="1" w:styleId="146">
    <w:name w:val="Char Char Char"/>
    <w:qFormat/>
    <w:uiPriority w:val="0"/>
    <w:rPr>
      <w:rFonts w:ascii="Arial" w:hAnsi="Arial" w:eastAsia="黑体"/>
      <w:b/>
      <w:bCs/>
      <w:kern w:val="2"/>
      <w:sz w:val="32"/>
      <w:szCs w:val="32"/>
      <w:lang w:val="en-US" w:eastAsia="zh-CN" w:bidi="ar-SA"/>
    </w:rPr>
  </w:style>
  <w:style w:type="character" w:customStyle="1" w:styleId="147">
    <w:name w:val="页眉 Char2"/>
    <w:qFormat/>
    <w:uiPriority w:val="0"/>
    <w:rPr>
      <w:kern w:val="2"/>
      <w:sz w:val="18"/>
      <w:szCs w:val="18"/>
    </w:rPr>
  </w:style>
  <w:style w:type="character" w:customStyle="1" w:styleId="148">
    <w:name w:val="font01"/>
    <w:qFormat/>
    <w:uiPriority w:val="0"/>
    <w:rPr>
      <w:rFonts w:hint="eastAsia" w:ascii="宋体" w:hAnsi="宋体" w:eastAsia="宋体" w:cs="宋体"/>
      <w:color w:val="000000"/>
      <w:sz w:val="24"/>
      <w:szCs w:val="24"/>
      <w:u w:val="none"/>
    </w:rPr>
  </w:style>
  <w:style w:type="character" w:customStyle="1" w:styleId="149">
    <w:name w:val="正文文本首行缩进 字符"/>
    <w:link w:val="52"/>
    <w:qFormat/>
    <w:uiPriority w:val="0"/>
    <w:rPr>
      <w:rFonts w:ascii="Calibri" w:hAnsi="Calibri"/>
      <w:color w:val="000000"/>
      <w:kern w:val="2"/>
      <w:sz w:val="21"/>
      <w:szCs w:val="22"/>
    </w:rPr>
  </w:style>
  <w:style w:type="character" w:customStyle="1" w:styleId="150">
    <w:name w:val="日期 字符"/>
    <w:link w:val="29"/>
    <w:uiPriority w:val="0"/>
    <w:rPr>
      <w:rFonts w:ascii="宋体"/>
      <w:sz w:val="24"/>
    </w:rPr>
  </w:style>
  <w:style w:type="character" w:customStyle="1" w:styleId="151">
    <w:name w:val="正文缩进 Char1"/>
    <w:qFormat/>
    <w:uiPriority w:val="0"/>
    <w:rPr>
      <w:sz w:val="21"/>
    </w:rPr>
  </w:style>
  <w:style w:type="character" w:customStyle="1" w:styleId="152">
    <w:name w:val="签名 字符"/>
    <w:link w:val="34"/>
    <w:qFormat/>
    <w:uiPriority w:val="0"/>
    <w:rPr>
      <w:rFonts w:eastAsia="楷体_GB2312"/>
    </w:rPr>
  </w:style>
  <w:style w:type="character" w:customStyle="1" w:styleId="153">
    <w:name w:val="List Paragraph Char Char"/>
    <w:link w:val="154"/>
    <w:qFormat/>
    <w:uiPriority w:val="0"/>
    <w:rPr>
      <w:sz w:val="21"/>
    </w:rPr>
  </w:style>
  <w:style w:type="paragraph" w:customStyle="1" w:styleId="154">
    <w:name w:val="列出段落1"/>
    <w:basedOn w:val="1"/>
    <w:link w:val="153"/>
    <w:qFormat/>
    <w:uiPriority w:val="34"/>
    <w:pPr>
      <w:widowControl/>
      <w:ind w:firstLine="420" w:firstLineChars="200"/>
      <w:jc w:val="left"/>
    </w:pPr>
    <w:rPr>
      <w:kern w:val="0"/>
      <w:szCs w:val="20"/>
    </w:rPr>
  </w:style>
  <w:style w:type="character" w:customStyle="1" w:styleId="155">
    <w:name w:val="font31"/>
    <w:qFormat/>
    <w:uiPriority w:val="0"/>
    <w:rPr>
      <w:rFonts w:hint="eastAsia" w:ascii="宋体" w:hAnsi="宋体" w:eastAsia="宋体" w:cs="宋体"/>
      <w:color w:val="000000"/>
      <w:sz w:val="22"/>
      <w:szCs w:val="22"/>
      <w:u w:val="none"/>
      <w:vertAlign w:val="superscript"/>
    </w:rPr>
  </w:style>
  <w:style w:type="character" w:customStyle="1" w:styleId="156">
    <w:name w:val="批注主题 Char"/>
    <w:qFormat/>
    <w:uiPriority w:val="0"/>
    <w:rPr>
      <w:b/>
      <w:bCs/>
      <w:kern w:val="2"/>
      <w:sz w:val="21"/>
      <w:szCs w:val="24"/>
    </w:rPr>
  </w:style>
  <w:style w:type="character" w:customStyle="1" w:styleId="157">
    <w:name w:val="Char Char2"/>
    <w:qFormat/>
    <w:uiPriority w:val="0"/>
    <w:rPr>
      <w:rFonts w:eastAsia="宋体"/>
      <w:kern w:val="2"/>
      <w:sz w:val="21"/>
      <w:szCs w:val="24"/>
      <w:lang w:val="en-US" w:eastAsia="zh-CN" w:bidi="ar-SA"/>
    </w:rPr>
  </w:style>
  <w:style w:type="character" w:customStyle="1" w:styleId="158">
    <w:name w:val="正文文本缩进 Char"/>
    <w:qFormat/>
    <w:uiPriority w:val="0"/>
    <w:rPr>
      <w:rFonts w:eastAsia="宋体"/>
      <w:sz w:val="21"/>
      <w:lang w:val="en-US" w:eastAsia="zh-CN" w:bidi="ar-SA"/>
    </w:rPr>
  </w:style>
  <w:style w:type="character" w:customStyle="1" w:styleId="159">
    <w:name w:val="签名 Char1"/>
    <w:semiHidden/>
    <w:qFormat/>
    <w:uiPriority w:val="99"/>
    <w:rPr>
      <w:kern w:val="2"/>
      <w:sz w:val="21"/>
      <w:szCs w:val="24"/>
    </w:rPr>
  </w:style>
  <w:style w:type="character" w:customStyle="1" w:styleId="160">
    <w:name w:val="标题 字符1"/>
    <w:uiPriority w:val="10"/>
    <w:rPr>
      <w:rFonts w:ascii="等线 Light" w:hAnsi="等线 Light" w:cs="Times New Roman"/>
      <w:b/>
      <w:bCs/>
      <w:kern w:val="2"/>
      <w:sz w:val="32"/>
      <w:szCs w:val="32"/>
    </w:rPr>
  </w:style>
  <w:style w:type="character" w:customStyle="1" w:styleId="161">
    <w:name w:val="正文文本 Char"/>
    <w:uiPriority w:val="0"/>
    <w:rPr>
      <w:kern w:val="2"/>
      <w:sz w:val="21"/>
      <w:szCs w:val="24"/>
    </w:rPr>
  </w:style>
  <w:style w:type="character" w:customStyle="1" w:styleId="162">
    <w:name w:val="Table Text Char"/>
    <w:link w:val="163"/>
    <w:qFormat/>
    <w:uiPriority w:val="0"/>
    <w:rPr>
      <w:szCs w:val="21"/>
    </w:rPr>
  </w:style>
  <w:style w:type="paragraph" w:customStyle="1" w:styleId="163">
    <w:name w:val="Table Text"/>
    <w:basedOn w:val="1"/>
    <w:link w:val="162"/>
    <w:qFormat/>
    <w:uiPriority w:val="0"/>
    <w:pPr>
      <w:topLinePunct/>
      <w:adjustRightInd w:val="0"/>
      <w:snapToGrid w:val="0"/>
      <w:spacing w:before="80" w:after="80" w:line="240" w:lineRule="atLeast"/>
      <w:jc w:val="left"/>
    </w:pPr>
    <w:rPr>
      <w:kern w:val="0"/>
      <w:sz w:val="20"/>
      <w:szCs w:val="21"/>
    </w:rPr>
  </w:style>
  <w:style w:type="character" w:customStyle="1" w:styleId="164">
    <w:name w:val="subaccno"/>
    <w:uiPriority w:val="0"/>
  </w:style>
  <w:style w:type="character" w:customStyle="1" w:styleId="165">
    <w:name w:val="正文缩进2格 Char Char"/>
    <w:link w:val="166"/>
    <w:uiPriority w:val="0"/>
    <w:rPr>
      <w:rFonts w:ascii="仿宋_GB2312" w:hAnsi="宋体" w:eastAsia="仿宋_GB2312"/>
      <w:kern w:val="2"/>
      <w:sz w:val="31"/>
      <w:szCs w:val="28"/>
    </w:rPr>
  </w:style>
  <w:style w:type="paragraph" w:customStyle="1" w:styleId="166">
    <w:name w:val="正文缩进2格"/>
    <w:basedOn w:val="1"/>
    <w:link w:val="165"/>
    <w:uiPriority w:val="0"/>
    <w:pPr>
      <w:spacing w:after="120" w:line="600" w:lineRule="exact"/>
      <w:ind w:firstLine="639" w:firstLineChars="206"/>
    </w:pPr>
    <w:rPr>
      <w:rFonts w:ascii="仿宋_GB2312" w:hAnsi="宋体" w:eastAsia="仿宋_GB2312"/>
      <w:sz w:val="31"/>
      <w:szCs w:val="28"/>
    </w:rPr>
  </w:style>
  <w:style w:type="character" w:customStyle="1" w:styleId="167">
    <w:name w:val="defaultfont1"/>
    <w:qFormat/>
    <w:uiPriority w:val="0"/>
  </w:style>
  <w:style w:type="character" w:customStyle="1" w:styleId="168">
    <w:name w:val="font71"/>
    <w:qFormat/>
    <w:uiPriority w:val="0"/>
    <w:rPr>
      <w:rFonts w:hint="eastAsia" w:ascii="宋体" w:hAnsi="宋体" w:eastAsia="宋体" w:cs="宋体"/>
      <w:b/>
      <w:color w:val="000000"/>
      <w:sz w:val="20"/>
      <w:szCs w:val="20"/>
      <w:u w:val="none"/>
    </w:rPr>
  </w:style>
  <w:style w:type="character" w:customStyle="1" w:styleId="169">
    <w:name w:val="批注文字 Char2"/>
    <w:qFormat/>
    <w:uiPriority w:val="0"/>
    <w:rPr>
      <w:sz w:val="21"/>
    </w:rPr>
  </w:style>
  <w:style w:type="character" w:customStyle="1" w:styleId="170">
    <w:name w:val="日期 Char"/>
    <w:qFormat/>
    <w:uiPriority w:val="0"/>
    <w:rPr>
      <w:kern w:val="2"/>
      <w:sz w:val="24"/>
    </w:rPr>
  </w:style>
  <w:style w:type="character" w:customStyle="1" w:styleId="171">
    <w:name w:val="正文文本 2 Char1"/>
    <w:semiHidden/>
    <w:qFormat/>
    <w:uiPriority w:val="99"/>
    <w:rPr>
      <w:kern w:val="2"/>
      <w:sz w:val="21"/>
      <w:szCs w:val="24"/>
    </w:rPr>
  </w:style>
  <w:style w:type="character" w:customStyle="1" w:styleId="172">
    <w:name w:val="font11"/>
    <w:qFormat/>
    <w:uiPriority w:val="0"/>
    <w:rPr>
      <w:rFonts w:hint="eastAsia" w:ascii="宋体" w:hAnsi="宋体" w:eastAsia="宋体" w:cs="宋体"/>
      <w:b/>
      <w:color w:val="000000"/>
      <w:sz w:val="20"/>
      <w:szCs w:val="20"/>
      <w:u w:val="none"/>
    </w:rPr>
  </w:style>
  <w:style w:type="character" w:customStyle="1" w:styleId="173">
    <w:name w:val="无间隔 字符"/>
    <w:link w:val="174"/>
    <w:qFormat/>
    <w:uiPriority w:val="0"/>
    <w:rPr>
      <w:rFonts w:ascii="Calibri" w:hAnsi="Calibri"/>
      <w:kern w:val="2"/>
      <w:sz w:val="21"/>
      <w:szCs w:val="22"/>
    </w:rPr>
  </w:style>
  <w:style w:type="paragraph" w:styleId="174">
    <w:name w:val="No Spacing"/>
    <w:link w:val="17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5">
    <w:name w:val="editmail"/>
    <w:qFormat/>
    <w:uiPriority w:val="0"/>
  </w:style>
  <w:style w:type="character" w:customStyle="1" w:styleId="176">
    <w:name w:val="font161"/>
    <w:uiPriority w:val="0"/>
    <w:rPr>
      <w:b/>
      <w:bCs/>
      <w:sz w:val="32"/>
      <w:szCs w:val="32"/>
    </w:rPr>
  </w:style>
  <w:style w:type="character" w:customStyle="1" w:styleId="177">
    <w:name w:val="15"/>
    <w:uiPriority w:val="0"/>
    <w:rPr>
      <w:rFonts w:hint="default" w:ascii="Times New Roman" w:hAnsi="Times New Roman" w:cs="Times New Roman"/>
    </w:rPr>
  </w:style>
  <w:style w:type="character" w:customStyle="1" w:styleId="178">
    <w:name w:val="Char Char8"/>
    <w:qFormat/>
    <w:uiPriority w:val="0"/>
    <w:rPr>
      <w:rFonts w:ascii="Arial" w:hAnsi="Arial" w:eastAsia="黑体"/>
      <w:b/>
      <w:bCs/>
      <w:kern w:val="2"/>
      <w:sz w:val="32"/>
      <w:szCs w:val="32"/>
      <w:lang w:val="en-US" w:eastAsia="zh-CN" w:bidi="ar-SA"/>
    </w:rPr>
  </w:style>
  <w:style w:type="character" w:customStyle="1" w:styleId="179">
    <w:name w:val="脚注文本 字符"/>
    <w:link w:val="42"/>
    <w:uiPriority w:val="0"/>
    <w:rPr>
      <w:kern w:val="2"/>
    </w:rPr>
  </w:style>
  <w:style w:type="character" w:customStyle="1" w:styleId="180">
    <w:name w:val="正文文本缩进 2 Char"/>
    <w:qFormat/>
    <w:uiPriority w:val="0"/>
    <w:rPr>
      <w:sz w:val="21"/>
    </w:rPr>
  </w:style>
  <w:style w:type="character" w:customStyle="1" w:styleId="181">
    <w:name w:val="页眉 Char3"/>
    <w:basedOn w:val="56"/>
    <w:semiHidden/>
    <w:uiPriority w:val="99"/>
    <w:rPr>
      <w:kern w:val="2"/>
      <w:sz w:val="18"/>
      <w:szCs w:val="18"/>
    </w:rPr>
  </w:style>
  <w:style w:type="character" w:customStyle="1" w:styleId="182">
    <w:name w:val="日期 Char2"/>
    <w:basedOn w:val="56"/>
    <w:semiHidden/>
    <w:uiPriority w:val="99"/>
    <w:rPr>
      <w:kern w:val="2"/>
      <w:sz w:val="21"/>
      <w:szCs w:val="24"/>
    </w:rPr>
  </w:style>
  <w:style w:type="character" w:customStyle="1" w:styleId="183">
    <w:name w:val="签名 Char2"/>
    <w:basedOn w:val="56"/>
    <w:semiHidden/>
    <w:uiPriority w:val="99"/>
    <w:rPr>
      <w:kern w:val="2"/>
      <w:sz w:val="21"/>
      <w:szCs w:val="24"/>
    </w:rPr>
  </w:style>
  <w:style w:type="character" w:customStyle="1" w:styleId="184">
    <w:name w:val="批注文字 Char3"/>
    <w:basedOn w:val="56"/>
    <w:semiHidden/>
    <w:uiPriority w:val="99"/>
    <w:rPr>
      <w:kern w:val="2"/>
      <w:sz w:val="21"/>
      <w:szCs w:val="24"/>
    </w:rPr>
  </w:style>
  <w:style w:type="character" w:customStyle="1" w:styleId="185">
    <w:name w:val="正文文本缩进 2 Char2"/>
    <w:basedOn w:val="56"/>
    <w:semiHidden/>
    <w:uiPriority w:val="99"/>
    <w:rPr>
      <w:kern w:val="2"/>
      <w:sz w:val="21"/>
      <w:szCs w:val="24"/>
    </w:rPr>
  </w:style>
  <w:style w:type="character" w:customStyle="1" w:styleId="186">
    <w:name w:val="正文文本 3 Char1"/>
    <w:basedOn w:val="56"/>
    <w:semiHidden/>
    <w:uiPriority w:val="99"/>
    <w:rPr>
      <w:kern w:val="2"/>
      <w:sz w:val="16"/>
      <w:szCs w:val="16"/>
    </w:rPr>
  </w:style>
  <w:style w:type="character" w:customStyle="1" w:styleId="187">
    <w:name w:val="正文文本缩进 3 Char1"/>
    <w:basedOn w:val="56"/>
    <w:semiHidden/>
    <w:uiPriority w:val="99"/>
    <w:rPr>
      <w:kern w:val="2"/>
      <w:sz w:val="16"/>
      <w:szCs w:val="16"/>
    </w:rPr>
  </w:style>
  <w:style w:type="character" w:customStyle="1" w:styleId="188">
    <w:name w:val="正文文本缩进 字符"/>
    <w:basedOn w:val="56"/>
    <w:link w:val="22"/>
    <w:uiPriority w:val="0"/>
    <w:rPr>
      <w:kern w:val="2"/>
      <w:sz w:val="21"/>
      <w:szCs w:val="24"/>
    </w:rPr>
  </w:style>
  <w:style w:type="character" w:customStyle="1" w:styleId="189">
    <w:name w:val="正文首行缩进 2 Char2"/>
    <w:basedOn w:val="188"/>
    <w:semiHidden/>
    <w:uiPriority w:val="99"/>
    <w:rPr>
      <w:kern w:val="2"/>
      <w:sz w:val="21"/>
      <w:szCs w:val="24"/>
    </w:rPr>
  </w:style>
  <w:style w:type="character" w:customStyle="1" w:styleId="190">
    <w:name w:val="正文文本 2 Char2"/>
    <w:basedOn w:val="56"/>
    <w:semiHidden/>
    <w:uiPriority w:val="99"/>
    <w:rPr>
      <w:kern w:val="2"/>
      <w:sz w:val="21"/>
      <w:szCs w:val="24"/>
    </w:rPr>
  </w:style>
  <w:style w:type="character" w:customStyle="1" w:styleId="191">
    <w:name w:val="脚注文本 Char1"/>
    <w:basedOn w:val="56"/>
    <w:semiHidden/>
    <w:uiPriority w:val="99"/>
    <w:rPr>
      <w:kern w:val="2"/>
      <w:sz w:val="18"/>
      <w:szCs w:val="18"/>
    </w:rPr>
  </w:style>
  <w:style w:type="character" w:customStyle="1" w:styleId="192">
    <w:name w:val="正文文本 字符"/>
    <w:basedOn w:val="56"/>
    <w:link w:val="21"/>
    <w:uiPriority w:val="0"/>
    <w:rPr>
      <w:kern w:val="2"/>
      <w:sz w:val="21"/>
      <w:szCs w:val="24"/>
    </w:rPr>
  </w:style>
  <w:style w:type="character" w:customStyle="1" w:styleId="193">
    <w:name w:val="正文首行缩进 Char2"/>
    <w:basedOn w:val="192"/>
    <w:semiHidden/>
    <w:uiPriority w:val="99"/>
    <w:rPr>
      <w:kern w:val="2"/>
      <w:sz w:val="21"/>
      <w:szCs w:val="24"/>
    </w:rPr>
  </w:style>
  <w:style w:type="character" w:customStyle="1" w:styleId="194">
    <w:name w:val="副标题 Char2"/>
    <w:basedOn w:val="56"/>
    <w:uiPriority w:val="11"/>
    <w:rPr>
      <w:rFonts w:asciiTheme="majorHAnsi" w:hAnsiTheme="majorHAnsi" w:cstheme="majorBidi"/>
      <w:b/>
      <w:bCs/>
      <w:kern w:val="28"/>
      <w:sz w:val="32"/>
      <w:szCs w:val="32"/>
    </w:rPr>
  </w:style>
  <w:style w:type="character" w:customStyle="1" w:styleId="195">
    <w:name w:val="批注主题 Char2"/>
    <w:basedOn w:val="86"/>
    <w:semiHidden/>
    <w:uiPriority w:val="99"/>
    <w:rPr>
      <w:b/>
      <w:bCs/>
      <w:kern w:val="2"/>
      <w:sz w:val="21"/>
      <w:szCs w:val="24"/>
    </w:rPr>
  </w:style>
  <w:style w:type="character" w:customStyle="1" w:styleId="196">
    <w:name w:val="批注框文本 Char1"/>
    <w:basedOn w:val="56"/>
    <w:semiHidden/>
    <w:uiPriority w:val="99"/>
    <w:rPr>
      <w:kern w:val="2"/>
      <w:sz w:val="18"/>
      <w:szCs w:val="18"/>
    </w:rPr>
  </w:style>
  <w:style w:type="character" w:customStyle="1" w:styleId="197">
    <w:name w:val="标题 Char2"/>
    <w:basedOn w:val="56"/>
    <w:uiPriority w:val="10"/>
    <w:rPr>
      <w:rFonts w:asciiTheme="majorHAnsi" w:hAnsiTheme="majorHAnsi" w:cstheme="majorBidi"/>
      <w:b/>
      <w:bCs/>
      <w:kern w:val="2"/>
      <w:sz w:val="32"/>
      <w:szCs w:val="32"/>
    </w:rPr>
  </w:style>
  <w:style w:type="character" w:customStyle="1" w:styleId="198">
    <w:name w:val="HTML 预设格式 Char2"/>
    <w:basedOn w:val="56"/>
    <w:semiHidden/>
    <w:uiPriority w:val="99"/>
    <w:rPr>
      <w:rFonts w:ascii="Courier New" w:hAnsi="Courier New" w:cs="Courier New"/>
      <w:kern w:val="2"/>
    </w:rPr>
  </w:style>
  <w:style w:type="character" w:customStyle="1" w:styleId="199">
    <w:name w:val="文档结构图 Char1"/>
    <w:basedOn w:val="56"/>
    <w:semiHidden/>
    <w:uiPriority w:val="99"/>
    <w:rPr>
      <w:rFonts w:ascii="宋体"/>
      <w:kern w:val="2"/>
      <w:sz w:val="18"/>
      <w:szCs w:val="18"/>
    </w:rPr>
  </w:style>
  <w:style w:type="paragraph" w:customStyle="1" w:styleId="200">
    <w:name w:val="样式 正文1 + 四号 加粗 黑色 行距: 最小值 20 磅"/>
    <w:basedOn w:val="201"/>
    <w:qFormat/>
    <w:uiPriority w:val="0"/>
    <w:pPr>
      <w:spacing w:line="400" w:lineRule="atLeast"/>
      <w:textAlignment w:val="auto"/>
    </w:pPr>
    <w:rPr>
      <w:rFonts w:hint="eastAsia"/>
      <w:b/>
      <w:bCs/>
      <w:color w:val="000000"/>
      <w:sz w:val="28"/>
      <w:szCs w:val="28"/>
    </w:rPr>
  </w:style>
  <w:style w:type="paragraph" w:customStyle="1" w:styleId="201">
    <w:name w:val="正文1"/>
    <w:basedOn w:val="1"/>
    <w:qFormat/>
    <w:uiPriority w:val="0"/>
    <w:pPr>
      <w:adjustRightInd w:val="0"/>
      <w:spacing w:line="360" w:lineRule="atLeast"/>
      <w:jc w:val="left"/>
      <w:textAlignment w:val="baseline"/>
    </w:pPr>
    <w:rPr>
      <w:rFonts w:ascii="宋体"/>
      <w:kern w:val="0"/>
      <w:sz w:val="24"/>
    </w:rPr>
  </w:style>
  <w:style w:type="paragraph" w:customStyle="1" w:styleId="20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3">
    <w:name w:val="样式 标题 3H3h33rd levelLevel 3 Headl3CTHeading 3 - oldISO2...1"/>
    <w:basedOn w:val="5"/>
    <w:qFormat/>
    <w:uiPriority w:val="0"/>
    <w:pPr>
      <w:keepNext w:val="0"/>
      <w:keepLines w:val="0"/>
      <w:tabs>
        <w:tab w:val="left" w:pos="851"/>
        <w:tab w:val="left" w:pos="1389"/>
      </w:tabs>
      <w:suppressAutoHyphens/>
      <w:autoSpaceDE w:val="0"/>
      <w:adjustRightInd/>
      <w:spacing w:line="360" w:lineRule="auto"/>
      <w:ind w:left="720" w:hanging="720"/>
      <w:textAlignment w:val="auto"/>
    </w:pPr>
    <w:rPr>
      <w:rFonts w:ascii="宋体" w:hAnsi="宋体" w:cs="宋体"/>
      <w:bCs/>
      <w:color w:val="000000"/>
      <w:kern w:val="1"/>
      <w:sz w:val="24"/>
      <w:lang w:eastAsia="ar-SA"/>
    </w:rPr>
  </w:style>
  <w:style w:type="paragraph" w:customStyle="1" w:styleId="204">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205">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20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0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0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居中文字"/>
    <w:basedOn w:val="1"/>
    <w:qFormat/>
    <w:uiPriority w:val="0"/>
    <w:pPr>
      <w:adjustRightInd w:val="0"/>
      <w:spacing w:before="120" w:after="60"/>
      <w:jc w:val="center"/>
      <w:textAlignment w:val="baseline"/>
    </w:pPr>
    <w:rPr>
      <w:kern w:val="0"/>
      <w:sz w:val="32"/>
      <w:szCs w:val="32"/>
    </w:rPr>
  </w:style>
  <w:style w:type="paragraph" w:customStyle="1" w:styleId="211">
    <w:name w:val="Char Char Char Char Char Char Char Char Char Char Char Char Char Char Char"/>
    <w:basedOn w:val="1"/>
    <w:qFormat/>
    <w:uiPriority w:val="0"/>
    <w:pPr>
      <w:widowControl/>
      <w:spacing w:line="400" w:lineRule="exact"/>
      <w:jc w:val="center"/>
    </w:pPr>
  </w:style>
  <w:style w:type="paragraph" w:customStyle="1" w:styleId="212">
    <w:name w:val="正文（插图）"/>
    <w:basedOn w:val="1"/>
    <w:qFormat/>
    <w:uiPriority w:val="0"/>
    <w:pPr>
      <w:adjustRightInd w:val="0"/>
      <w:snapToGrid w:val="0"/>
      <w:spacing w:before="120" w:after="120"/>
      <w:jc w:val="center"/>
      <w:textAlignment w:val="baseline"/>
    </w:pPr>
    <w:rPr>
      <w:kern w:val="0"/>
      <w:szCs w:val="20"/>
    </w:rPr>
  </w:style>
  <w:style w:type="paragraph" w:customStyle="1" w:styleId="213">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14">
    <w:name w:val="DocBody"/>
    <w:basedOn w:val="1"/>
    <w:uiPriority w:val="0"/>
    <w:pPr>
      <w:adjustRightInd w:val="0"/>
      <w:spacing w:line="360" w:lineRule="auto"/>
      <w:ind w:firstLine="510"/>
      <w:textAlignment w:val="baseline"/>
    </w:pPr>
    <w:rPr>
      <w:rFonts w:ascii="宋体"/>
      <w:kern w:val="0"/>
      <w:sz w:val="24"/>
      <w:szCs w:val="20"/>
    </w:rPr>
  </w:style>
  <w:style w:type="paragraph" w:customStyle="1" w:styleId="215">
    <w:name w:val="样式5"/>
    <w:basedOn w:val="216"/>
    <w:next w:val="216"/>
    <w:qFormat/>
    <w:uiPriority w:val="0"/>
    <w:pPr>
      <w:keepNext w:val="0"/>
      <w:keepLines w:val="0"/>
      <w:tabs>
        <w:tab w:val="right" w:leader="dot" w:pos="9458"/>
      </w:tabs>
      <w:spacing w:before="120" w:after="120" w:line="240" w:lineRule="auto"/>
      <w:ind w:left="720" w:hanging="720"/>
      <w:jc w:val="left"/>
      <w:outlineLvl w:val="9"/>
    </w:pPr>
    <w:rPr>
      <w:rFonts w:eastAsia="宋体"/>
      <w:b w:val="0"/>
      <w:caps/>
      <w:sz w:val="20"/>
      <w:szCs w:val="20"/>
    </w:rPr>
  </w:style>
  <w:style w:type="paragraph" w:customStyle="1" w:styleId="216">
    <w:name w:val="样式4"/>
    <w:basedOn w:val="5"/>
    <w:qFormat/>
    <w:uiPriority w:val="0"/>
    <w:pPr>
      <w:adjustRightInd/>
      <w:spacing w:line="415" w:lineRule="auto"/>
      <w:textAlignment w:val="auto"/>
    </w:pPr>
    <w:rPr>
      <w:rFonts w:eastAsia="Arial"/>
      <w:bCs/>
      <w:kern w:val="2"/>
      <w:szCs w:val="32"/>
    </w:rPr>
  </w:style>
  <w:style w:type="paragraph" w:customStyle="1" w:styleId="2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19">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0">
    <w:name w:val="Style Heading 4 + Not Bold"/>
    <w:basedOn w:val="1"/>
    <w:qFormat/>
    <w:uiPriority w:val="0"/>
  </w:style>
  <w:style w:type="paragraph" w:customStyle="1" w:styleId="221">
    <w:name w:val="目录 91"/>
    <w:basedOn w:val="1"/>
    <w:next w:val="1"/>
    <w:uiPriority w:val="0"/>
    <w:pPr>
      <w:ind w:left="1680"/>
      <w:jc w:val="left"/>
    </w:pPr>
    <w:rPr>
      <w:sz w:val="18"/>
      <w:szCs w:val="18"/>
    </w:rPr>
  </w:style>
  <w:style w:type="paragraph" w:customStyle="1" w:styleId="222">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CSS1级正文"/>
    <w:basedOn w:val="21"/>
    <w:qFormat/>
    <w:uiPriority w:val="0"/>
  </w:style>
  <w:style w:type="paragraph" w:customStyle="1" w:styleId="224">
    <w:name w:val="默认段落字体 Para Char Char Char Char"/>
    <w:basedOn w:val="1"/>
    <w:qFormat/>
    <w:uiPriority w:val="0"/>
  </w:style>
  <w:style w:type="paragraph" w:customStyle="1" w:styleId="225">
    <w:name w:val="Char1 Char Char Char"/>
    <w:basedOn w:val="1"/>
    <w:qFormat/>
    <w:uiPriority w:val="0"/>
    <w:rPr>
      <w:rFonts w:ascii="Tahoma" w:hAnsi="Tahoma"/>
      <w:sz w:val="24"/>
      <w:szCs w:val="20"/>
    </w:rPr>
  </w:style>
  <w:style w:type="paragraph" w:customStyle="1" w:styleId="226">
    <w:name w:val="xl6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27">
    <w:name w:val="1"/>
    <w:basedOn w:val="1"/>
    <w:next w:val="1"/>
    <w:qFormat/>
    <w:uiPriority w:val="0"/>
  </w:style>
  <w:style w:type="paragraph" w:customStyle="1" w:styleId="22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9">
    <w:name w:val="Style1"/>
    <w:basedOn w:val="2"/>
    <w:qFormat/>
    <w:uiPriority w:val="0"/>
    <w:pPr>
      <w:tabs>
        <w:tab w:val="left" w:pos="432"/>
        <w:tab w:val="left" w:pos="1980"/>
      </w:tabs>
      <w:spacing w:before="0" w:after="0" w:line="440" w:lineRule="exact"/>
    </w:pPr>
    <w:rPr>
      <w:sz w:val="28"/>
      <w:szCs w:val="28"/>
    </w:rPr>
  </w:style>
  <w:style w:type="paragraph" w:customStyle="1" w:styleId="230">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231">
    <w:name w:val="PRT"/>
    <w:basedOn w:val="1"/>
    <w:qFormat/>
    <w:uiPriority w:val="0"/>
    <w:pPr>
      <w:widowControl/>
      <w:tabs>
        <w:tab w:val="left" w:pos="1152"/>
      </w:tabs>
      <w:overflowPunct w:val="0"/>
      <w:autoSpaceDE w:val="0"/>
      <w:autoSpaceDN w:val="0"/>
      <w:adjustRightInd w:val="0"/>
      <w:spacing w:before="200"/>
      <w:ind w:left="1152" w:hanging="1152"/>
      <w:jc w:val="left"/>
      <w:textAlignment w:val="baseline"/>
    </w:pPr>
    <w:rPr>
      <w:b/>
      <w:caps/>
      <w:kern w:val="0"/>
      <w:szCs w:val="20"/>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5">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37">
    <w:name w:val="标题3"/>
    <w:basedOn w:val="5"/>
    <w:qFormat/>
    <w:uiPriority w:val="0"/>
    <w:pPr>
      <w:keepLines w:val="0"/>
      <w:tabs>
        <w:tab w:val="left" w:pos="840"/>
        <w:tab w:val="left" w:pos="851"/>
      </w:tabs>
      <w:spacing w:before="0" w:after="0" w:line="360" w:lineRule="auto"/>
      <w:ind w:left="851" w:firstLine="480"/>
    </w:pPr>
    <w:rPr>
      <w:b w:val="0"/>
      <w:sz w:val="24"/>
    </w:rPr>
  </w:style>
  <w:style w:type="paragraph" w:customStyle="1" w:styleId="238">
    <w:name w:val="Plain Text1"/>
    <w:basedOn w:val="1"/>
    <w:qFormat/>
    <w:uiPriority w:val="0"/>
    <w:pPr>
      <w:autoSpaceDE w:val="0"/>
      <w:autoSpaceDN w:val="0"/>
      <w:adjustRightInd w:val="0"/>
    </w:pPr>
    <w:rPr>
      <w:rFonts w:hint="eastAsia" w:ascii="宋体"/>
      <w:sz w:val="24"/>
      <w:szCs w:val="20"/>
    </w:rPr>
  </w:style>
  <w:style w:type="paragraph" w:customStyle="1" w:styleId="239">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color w:val="000000"/>
      <w:kern w:val="0"/>
      <w:szCs w:val="21"/>
      <w:lang w:eastAsia="en-US"/>
    </w:rPr>
  </w:style>
  <w:style w:type="paragraph" w:customStyle="1" w:styleId="240">
    <w:name w:val="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标题2"/>
    <w:basedOn w:val="3"/>
    <w:qFormat/>
    <w:uiPriority w:val="0"/>
    <w:pPr>
      <w:keepLines w:val="0"/>
      <w:tabs>
        <w:tab w:val="left" w:pos="567"/>
        <w:tab w:val="left" w:pos="1050"/>
        <w:tab w:val="clear" w:pos="180"/>
        <w:tab w:val="clear" w:pos="360"/>
      </w:tabs>
      <w:spacing w:before="0" w:line="480" w:lineRule="exact"/>
      <w:ind w:left="576" w:right="0" w:rightChars="0" w:hanging="576"/>
      <w:jc w:val="both"/>
      <w:textAlignment w:val="baseline"/>
    </w:pPr>
    <w:rPr>
      <w:rFonts w:ascii="Times New Roman" w:hAnsi="Times New Roman"/>
      <w:b w:val="0"/>
      <w:sz w:val="24"/>
      <w:szCs w:val="24"/>
    </w:rPr>
  </w:style>
  <w:style w:type="paragraph" w:customStyle="1" w:styleId="242">
    <w:name w:val="元正正文标题2"/>
    <w:basedOn w:val="6"/>
    <w:uiPriority w:val="0"/>
    <w:pPr>
      <w:keepNext w:val="0"/>
      <w:keepLines w:val="0"/>
      <w:adjustRightInd w:val="0"/>
      <w:snapToGrid w:val="0"/>
      <w:spacing w:before="0" w:after="0" w:line="300" w:lineRule="auto"/>
      <w:jc w:val="center"/>
      <w:outlineLvl w:val="9"/>
    </w:pPr>
    <w:rPr>
      <w:rFonts w:ascii="宋体" w:hAnsi="宋体" w:eastAsia="宋体"/>
      <w:szCs w:val="28"/>
    </w:rPr>
  </w:style>
  <w:style w:type="paragraph" w:customStyle="1" w:styleId="243">
    <w:name w:val="Char Char Char11"/>
    <w:basedOn w:val="1"/>
    <w:uiPriority w:val="0"/>
    <w:pPr>
      <w:tabs>
        <w:tab w:val="left" w:pos="1599"/>
      </w:tabs>
      <w:ind w:left="432" w:hanging="432"/>
    </w:pPr>
  </w:style>
  <w:style w:type="paragraph" w:customStyle="1" w:styleId="244">
    <w:name w:val="正文（不缩进）"/>
    <w:basedOn w:val="1"/>
    <w:qFormat/>
    <w:uiPriority w:val="0"/>
    <w:pPr>
      <w:adjustRightInd w:val="0"/>
      <w:snapToGrid w:val="0"/>
      <w:spacing w:line="480" w:lineRule="exact"/>
    </w:pPr>
    <w:rPr>
      <w:kern w:val="0"/>
      <w:sz w:val="24"/>
      <w:szCs w:val="20"/>
    </w:rPr>
  </w:style>
  <w:style w:type="paragraph" w:customStyle="1" w:styleId="245">
    <w:name w:val="投标文件3"/>
    <w:basedOn w:val="1"/>
    <w:qFormat/>
    <w:uiPriority w:val="0"/>
    <w:pPr>
      <w:widowControl/>
      <w:spacing w:line="360" w:lineRule="auto"/>
    </w:pPr>
    <w:rPr>
      <w:rFonts w:ascii="宋体" w:hAnsi="Courier New" w:eastAsia="黑体"/>
      <w:b/>
      <w:sz w:val="30"/>
      <w:szCs w:val="20"/>
    </w:rPr>
  </w:style>
  <w:style w:type="paragraph" w:customStyle="1" w:styleId="246">
    <w:name w:val="09正文_wh"/>
    <w:qFormat/>
    <w:uiPriority w:val="0"/>
    <w:pPr>
      <w:spacing w:line="400" w:lineRule="exact"/>
      <w:ind w:firstLine="480" w:firstLineChars="200"/>
      <w:jc w:val="both"/>
    </w:pPr>
    <w:rPr>
      <w:rFonts w:ascii="Times New Roman" w:hAnsi="Times New Roman" w:eastAsia="宋体" w:cs="Times New Roman"/>
      <w:sz w:val="24"/>
      <w:lang w:val="en-US" w:eastAsia="zh-CN" w:bidi="ar-SA"/>
    </w:rPr>
  </w:style>
  <w:style w:type="paragraph" w:customStyle="1" w:styleId="247">
    <w:name w:val="Char1"/>
    <w:basedOn w:val="1"/>
    <w:uiPriority w:val="0"/>
    <w:pPr>
      <w:tabs>
        <w:tab w:val="left" w:pos="425"/>
      </w:tabs>
      <w:suppressAutoHyphens/>
      <w:ind w:left="425" w:hanging="425"/>
    </w:pPr>
    <w:rPr>
      <w:kern w:val="1"/>
      <w:sz w:val="24"/>
      <w:lang w:eastAsia="ar-SA"/>
    </w:rPr>
  </w:style>
  <w:style w:type="paragraph" w:customStyle="1" w:styleId="24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49">
    <w:name w:val="日期1"/>
    <w:basedOn w:val="1"/>
    <w:next w:val="1"/>
    <w:qFormat/>
    <w:uiPriority w:val="0"/>
    <w:pPr>
      <w:adjustRightInd w:val="0"/>
      <w:spacing w:line="360" w:lineRule="atLeast"/>
      <w:textAlignment w:val="baseline"/>
    </w:pPr>
    <w:rPr>
      <w:rFonts w:ascii="宋体"/>
      <w:kern w:val="0"/>
      <w:sz w:val="30"/>
      <w:szCs w:val="20"/>
    </w:rPr>
  </w:style>
  <w:style w:type="paragraph" w:customStyle="1" w:styleId="250">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251">
    <w:name w:val="样式1"/>
    <w:basedOn w:val="5"/>
    <w:qFormat/>
    <w:uiPriority w:val="0"/>
    <w:pPr>
      <w:adjustRightInd/>
      <w:spacing w:line="415" w:lineRule="auto"/>
      <w:textAlignment w:val="auto"/>
    </w:pPr>
    <w:rPr>
      <w:rFonts w:eastAsia="Arial"/>
      <w:bCs/>
      <w:kern w:val="2"/>
      <w:szCs w:val="32"/>
    </w:rPr>
  </w:style>
  <w:style w:type="paragraph" w:customStyle="1" w:styleId="252">
    <w:name w:val="Char Char2 Char"/>
    <w:basedOn w:val="1"/>
    <w:qFormat/>
    <w:uiPriority w:val="0"/>
    <w:rPr>
      <w:rFonts w:ascii="宋体" w:hAnsi="宋体"/>
      <w:b/>
      <w:sz w:val="28"/>
      <w:szCs w:val="28"/>
    </w:rPr>
  </w:style>
  <w:style w:type="paragraph" w:customStyle="1" w:styleId="253">
    <w:name w:val="编号2"/>
    <w:basedOn w:val="1"/>
    <w:qFormat/>
    <w:uiPriority w:val="0"/>
    <w:pPr>
      <w:tabs>
        <w:tab w:val="left" w:pos="567"/>
      </w:tabs>
      <w:snapToGrid w:val="0"/>
      <w:spacing w:line="360" w:lineRule="auto"/>
      <w:ind w:left="567" w:hanging="567"/>
    </w:pPr>
    <w:rPr>
      <w:rFonts w:eastAsia="楷体_GB2312"/>
      <w:sz w:val="28"/>
      <w:szCs w:val="20"/>
    </w:rPr>
  </w:style>
  <w:style w:type="paragraph" w:customStyle="1" w:styleId="254">
    <w:name w:val="A"/>
    <w:basedOn w:val="1"/>
    <w:qFormat/>
    <w:uiPriority w:val="0"/>
    <w:pPr>
      <w:adjustRightInd w:val="0"/>
      <w:spacing w:line="480" w:lineRule="atLeast"/>
      <w:jc w:val="center"/>
      <w:textAlignment w:val="baseline"/>
    </w:pPr>
    <w:rPr>
      <w:rFonts w:ascii="宋体"/>
      <w:kern w:val="0"/>
      <w:sz w:val="32"/>
    </w:rPr>
  </w:style>
  <w:style w:type="paragraph" w:customStyle="1" w:styleId="255">
    <w:name w:val="xl25"/>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宋体" w:hAnsi="宋体"/>
      <w:szCs w:val="20"/>
    </w:rPr>
  </w:style>
  <w:style w:type="paragraph" w:customStyle="1" w:styleId="256">
    <w:name w:val="样式 标题 3h3Heading 3 - oldLevel 3 HeadH3level_3PIM 3sect1.2..."/>
    <w:basedOn w:val="1"/>
    <w:qFormat/>
    <w:uiPriority w:val="0"/>
  </w:style>
  <w:style w:type="paragraph" w:customStyle="1" w:styleId="25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58">
    <w:name w:val="关于"/>
    <w:basedOn w:val="1"/>
    <w:next w:val="1"/>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60">
    <w:name w:val="Table Body"/>
    <w:basedOn w:val="1"/>
    <w:qFormat/>
    <w:uiPriority w:val="0"/>
    <w:pPr>
      <w:widowControl/>
      <w:jc w:val="center"/>
    </w:pPr>
    <w:rPr>
      <w:rFonts w:ascii="Arial" w:hAnsi="Arial"/>
      <w:snapToGrid w:val="0"/>
      <w:kern w:val="0"/>
      <w:sz w:val="18"/>
      <w:szCs w:val="20"/>
    </w:rPr>
  </w:style>
  <w:style w:type="paragraph" w:customStyle="1" w:styleId="261">
    <w:name w:val="普通 (Web)"/>
    <w:basedOn w:val="1"/>
    <w:qFormat/>
    <w:uiPriority w:val="0"/>
    <w:pPr>
      <w:widowControl/>
      <w:spacing w:before="100" w:after="100"/>
      <w:jc w:val="left"/>
    </w:pPr>
    <w:rPr>
      <w:rFonts w:ascii="宋体" w:hAnsi="宋体"/>
      <w:color w:val="000000"/>
      <w:kern w:val="0"/>
      <w:sz w:val="24"/>
    </w:rPr>
  </w:style>
  <w:style w:type="paragraph" w:customStyle="1" w:styleId="262">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3">
    <w:name w:val="Char11"/>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264">
    <w:name w:val="章标题"/>
    <w:next w:val="265"/>
    <w:qFormat/>
    <w:uiPriority w:val="0"/>
    <w:pPr>
      <w:spacing w:before="50" w:beforeLines="50" w:after="50" w:afterLines="50"/>
      <w:ind w:left="576" w:hanging="576"/>
      <w:jc w:val="both"/>
      <w:outlineLvl w:val="1"/>
    </w:pPr>
    <w:rPr>
      <w:rFonts w:ascii="黑体" w:hAnsi="Times New Roman" w:eastAsia="黑体" w:cs="Times New Roman"/>
      <w:sz w:val="21"/>
      <w:lang w:val="en-US" w:eastAsia="zh-CN" w:bidi="ar-SA"/>
    </w:rPr>
  </w:style>
  <w:style w:type="paragraph" w:customStyle="1" w:styleId="26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67">
    <w:name w:val="Char Char Char1"/>
    <w:basedOn w:val="1"/>
    <w:qFormat/>
    <w:uiPriority w:val="0"/>
    <w:rPr>
      <w:rFonts w:ascii="Tahoma" w:hAnsi="Tahoma"/>
      <w:sz w:val="24"/>
      <w:szCs w:val="20"/>
    </w:rPr>
  </w:style>
  <w:style w:type="paragraph" w:customStyle="1" w:styleId="268">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69">
    <w:name w:val="样式 标题 3 + (中文) 黑体 小四 非加粗 段前: 7.8 磅 段后: 0 磅 行距: 固定值 20 磅"/>
    <w:basedOn w:val="5"/>
    <w:uiPriority w:val="0"/>
    <w:pPr>
      <w:adjustRightInd/>
      <w:spacing w:before="0" w:after="0" w:line="400" w:lineRule="exact"/>
      <w:textAlignment w:val="auto"/>
    </w:pPr>
    <w:rPr>
      <w:rFonts w:eastAsia="黑体" w:cs="宋体"/>
      <w:b w:val="0"/>
      <w:kern w:val="2"/>
      <w:sz w:val="24"/>
    </w:rPr>
  </w:style>
  <w:style w:type="paragraph" w:customStyle="1" w:styleId="270">
    <w:name w:val="样式 标题 1 + 四号"/>
    <w:basedOn w:val="2"/>
    <w:qFormat/>
    <w:uiPriority w:val="0"/>
    <w:pPr>
      <w:tabs>
        <w:tab w:val="left" w:pos="420"/>
      </w:tabs>
      <w:spacing w:line="576" w:lineRule="auto"/>
      <w:ind w:left="420" w:firstLine="0"/>
    </w:pPr>
    <w:rPr>
      <w:sz w:val="28"/>
      <w:szCs w:val="32"/>
    </w:rPr>
  </w:style>
  <w:style w:type="paragraph" w:customStyle="1" w:styleId="271">
    <w:name w:val="Char1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2">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74">
    <w:name w:val="Char Char Char Char Char Char Char"/>
    <w:basedOn w:val="1"/>
    <w:qFormat/>
    <w:uiPriority w:val="0"/>
    <w:pPr>
      <w:tabs>
        <w:tab w:val="left" w:pos="432"/>
      </w:tabs>
      <w:ind w:left="432" w:hanging="432"/>
    </w:pPr>
  </w:style>
  <w:style w:type="paragraph" w:customStyle="1" w:styleId="275">
    <w:name w:val="Char Char Char Char Char Char 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Defaul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277">
    <w:name w:val="Style2"/>
    <w:basedOn w:val="2"/>
    <w:qFormat/>
    <w:uiPriority w:val="0"/>
    <w:pPr>
      <w:tabs>
        <w:tab w:val="left" w:pos="312"/>
        <w:tab w:val="left" w:pos="360"/>
      </w:tabs>
      <w:spacing w:before="0" w:after="0" w:line="440" w:lineRule="exact"/>
      <w:ind w:left="0" w:firstLine="0"/>
    </w:pPr>
    <w:rPr>
      <w:sz w:val="28"/>
      <w:szCs w:val="28"/>
    </w:rPr>
  </w:style>
  <w:style w:type="paragraph" w:customStyle="1" w:styleId="278">
    <w:name w:val="样式 标题 3 + 宋体 小四"/>
    <w:basedOn w:val="5"/>
    <w:qFormat/>
    <w:uiPriority w:val="0"/>
    <w:pPr>
      <w:tabs>
        <w:tab w:val="left" w:pos="425"/>
        <w:tab w:val="left" w:pos="709"/>
        <w:tab w:val="left" w:pos="851"/>
        <w:tab w:val="left" w:pos="1389"/>
      </w:tabs>
      <w:adjustRightInd/>
      <w:spacing w:line="413" w:lineRule="auto"/>
      <w:ind w:left="425" w:hanging="425"/>
      <w:textAlignment w:val="auto"/>
    </w:pPr>
    <w:rPr>
      <w:rFonts w:ascii="宋体" w:hAnsi="宋体"/>
      <w:bCs/>
      <w:kern w:val="2"/>
      <w:sz w:val="24"/>
      <w:szCs w:val="32"/>
    </w:rPr>
  </w:style>
  <w:style w:type="paragraph" w:customStyle="1" w:styleId="279">
    <w:name w:val="默认段落字体 Para Char Char Char Char Char Char Char"/>
    <w:basedOn w:val="1"/>
    <w:qFormat/>
    <w:uiPriority w:val="0"/>
    <w:rPr>
      <w:rFonts w:ascii="Tahoma" w:hAnsi="Tahoma"/>
      <w:sz w:val="24"/>
      <w:szCs w:val="20"/>
    </w:rPr>
  </w:style>
  <w:style w:type="paragraph" w:customStyle="1" w:styleId="280">
    <w:name w:val="编号4"/>
    <w:basedOn w:val="1"/>
    <w:qFormat/>
    <w:uiPriority w:val="0"/>
    <w:pPr>
      <w:tabs>
        <w:tab w:val="left" w:pos="851"/>
      </w:tabs>
      <w:snapToGrid w:val="0"/>
      <w:spacing w:line="360" w:lineRule="auto"/>
      <w:ind w:left="851" w:hanging="851"/>
    </w:pPr>
    <w:rPr>
      <w:rFonts w:eastAsia="楷体_GB2312"/>
      <w:sz w:val="28"/>
      <w:szCs w:val="20"/>
    </w:rPr>
  </w:style>
  <w:style w:type="paragraph" w:customStyle="1" w:styleId="281">
    <w:name w:val="Char3"/>
    <w:basedOn w:val="1"/>
    <w:qFormat/>
    <w:uiPriority w:val="0"/>
    <w:pPr>
      <w:widowControl/>
      <w:spacing w:line="400" w:lineRule="exact"/>
      <w:jc w:val="center"/>
    </w:pPr>
    <w:rPr>
      <w:rFonts w:ascii="Verdana" w:hAnsi="Verdana"/>
      <w:kern w:val="0"/>
      <w:szCs w:val="20"/>
      <w:lang w:eastAsia="en-US"/>
    </w:rPr>
  </w:style>
  <w:style w:type="paragraph" w:customStyle="1" w:styleId="282">
    <w:name w:val="Normal Paragraph"/>
    <w:basedOn w:val="1"/>
    <w:qFormat/>
    <w:uiPriority w:val="0"/>
    <w:pPr>
      <w:widowControl/>
      <w:suppressAutoHyphens/>
      <w:spacing w:before="120" w:line="360" w:lineRule="auto"/>
      <w:ind w:firstLine="425"/>
    </w:pPr>
    <w:rPr>
      <w:kern w:val="1"/>
      <w:sz w:val="24"/>
      <w:lang w:eastAsia="ar-SA"/>
    </w:rPr>
  </w:style>
  <w:style w:type="paragraph" w:customStyle="1" w:styleId="283">
    <w:name w:val="Char Char Char Char Char Char Char Char1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4">
    <w:name w:val="题注4"/>
    <w:basedOn w:val="1"/>
    <w:next w:val="16"/>
    <w:qFormat/>
    <w:uiPriority w:val="0"/>
    <w:pPr>
      <w:ind w:left="-132" w:leftChars="-64" w:right="-50" w:rightChars="-50" w:hanging="2"/>
      <w:jc w:val="center"/>
    </w:pPr>
    <w:rPr>
      <w:rFonts w:hint="eastAsia"/>
      <w:b/>
      <w:color w:val="FF0000"/>
      <w:szCs w:val="20"/>
      <w:lang w:val="en-GB"/>
    </w:rPr>
  </w:style>
  <w:style w:type="paragraph" w:customStyle="1" w:styleId="285">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8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7">
    <w:name w:val="样式2"/>
    <w:basedOn w:val="5"/>
    <w:qFormat/>
    <w:uiPriority w:val="0"/>
    <w:pPr>
      <w:adjustRightInd/>
      <w:spacing w:line="415" w:lineRule="auto"/>
      <w:textAlignment w:val="auto"/>
    </w:pPr>
    <w:rPr>
      <w:bCs/>
      <w:kern w:val="2"/>
      <w:szCs w:val="32"/>
    </w:rPr>
  </w:style>
  <w:style w:type="paragraph" w:customStyle="1" w:styleId="2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8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90">
    <w:name w:val="目录 21"/>
    <w:basedOn w:val="1"/>
    <w:next w:val="1"/>
    <w:uiPriority w:val="39"/>
    <w:pPr>
      <w:ind w:left="210"/>
      <w:jc w:val="left"/>
    </w:pPr>
    <w:rPr>
      <w:smallCaps/>
      <w:sz w:val="20"/>
      <w:szCs w:val="20"/>
    </w:rPr>
  </w:style>
  <w:style w:type="paragraph" w:customStyle="1" w:styleId="291">
    <w:name w:val="Char Char Char Char"/>
    <w:basedOn w:val="1"/>
    <w:qFormat/>
    <w:uiPriority w:val="0"/>
    <w:pPr>
      <w:tabs>
        <w:tab w:val="left" w:pos="425"/>
      </w:tabs>
      <w:ind w:left="425" w:hanging="425"/>
    </w:pPr>
    <w:rPr>
      <w:rFonts w:eastAsia="仿宋_GB2312"/>
      <w:kern w:val="24"/>
      <w:sz w:val="24"/>
    </w:rPr>
  </w:style>
  <w:style w:type="paragraph" w:customStyle="1" w:styleId="292">
    <w:name w:val="样式 标题 1 + 黑体 三号 非加粗 居中 段前: 6 磅 段后: 6 磅 行距: 固定值 20 磅"/>
    <w:basedOn w:val="2"/>
    <w:qFormat/>
    <w:uiPriority w:val="0"/>
    <w:pPr>
      <w:spacing w:before="120" w:after="120" w:line="400" w:lineRule="exact"/>
      <w:ind w:left="0" w:firstLine="0"/>
      <w:jc w:val="center"/>
    </w:pPr>
    <w:rPr>
      <w:rFonts w:ascii="黑体" w:hAnsi="黑体" w:eastAsia="黑体" w:cs="宋体"/>
      <w:b w:val="0"/>
      <w:bCs w:val="0"/>
      <w:sz w:val="32"/>
      <w:szCs w:val="20"/>
    </w:rPr>
  </w:style>
  <w:style w:type="paragraph" w:customStyle="1" w:styleId="29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9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95">
    <w:name w:val="Char1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9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9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99">
    <w:name w:val="D标4"/>
    <w:basedOn w:val="1"/>
    <w:next w:val="1"/>
    <w:qFormat/>
    <w:uiPriority w:val="0"/>
    <w:pPr>
      <w:tabs>
        <w:tab w:val="left" w:pos="510"/>
      </w:tabs>
      <w:autoSpaceDE w:val="0"/>
      <w:autoSpaceDN w:val="0"/>
      <w:adjustRightInd w:val="0"/>
      <w:spacing w:before="120" w:line="480" w:lineRule="atLeast"/>
      <w:ind w:left="510" w:hanging="510"/>
    </w:pPr>
    <w:rPr>
      <w:rFonts w:ascii="宋体"/>
      <w:kern w:val="0"/>
      <w:sz w:val="24"/>
      <w:szCs w:val="20"/>
    </w:rPr>
  </w:style>
  <w:style w:type="paragraph" w:customStyle="1" w:styleId="30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2">
    <w:name w:val="默认段落字体 Para Char"/>
    <w:basedOn w:val="1"/>
    <w:qFormat/>
    <w:uiPriority w:val="0"/>
    <w:pPr>
      <w:spacing w:line="360" w:lineRule="auto"/>
    </w:pPr>
    <w:rPr>
      <w:rFonts w:ascii="Tahoma" w:hAnsi="Tahoma"/>
      <w:sz w:val="24"/>
      <w:szCs w:val="20"/>
    </w:rPr>
  </w:style>
  <w:style w:type="paragraph" w:customStyle="1" w:styleId="30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0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5">
    <w:name w:val="2 Char Char Char Char Char Char Char Char Char Char Char Char Char"/>
    <w:basedOn w:val="18"/>
    <w:uiPriority w:val="0"/>
    <w:rPr>
      <w:rFonts w:ascii="Tahoma" w:hAnsi="Tahoma"/>
      <w:sz w:val="24"/>
    </w:rPr>
  </w:style>
  <w:style w:type="paragraph" w:customStyle="1" w:styleId="30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07">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08">
    <w:name w:val="xl4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样式 标题 2 + 四号 段前: 18 磅 段后: 6 磅"/>
    <w:basedOn w:val="3"/>
    <w:qFormat/>
    <w:uiPriority w:val="0"/>
    <w:pPr>
      <w:keepLines w:val="0"/>
      <w:tabs>
        <w:tab w:val="left" w:pos="567"/>
        <w:tab w:val="clear" w:pos="180"/>
        <w:tab w:val="clear" w:pos="360"/>
      </w:tabs>
      <w:adjustRightInd/>
      <w:spacing w:before="0" w:afterLines="50" w:line="413" w:lineRule="auto"/>
      <w:ind w:left="567" w:right="0" w:rightChars="0" w:hanging="567"/>
      <w:jc w:val="both"/>
    </w:pPr>
    <w:rPr>
      <w:rFonts w:ascii="Arial" w:cs="宋体"/>
      <w:bCs/>
      <w:kern w:val="2"/>
    </w:rPr>
  </w:style>
  <w:style w:type="paragraph" w:customStyle="1" w:styleId="31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1">
    <w:name w:val="Char1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2">
    <w:name w:val="纯文本1"/>
    <w:basedOn w:val="1"/>
    <w:uiPriority w:val="0"/>
    <w:rPr>
      <w:rFonts w:hint="eastAsia" w:ascii="宋体" w:hAnsi="Courier New"/>
      <w:kern w:val="0"/>
      <w:szCs w:val="20"/>
    </w:rPr>
  </w:style>
  <w:style w:type="paragraph" w:customStyle="1" w:styleId="313">
    <w:name w:val="Char Char Char Char Char Char 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4">
    <w:name w:val="Jazzy"/>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31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31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317">
    <w:name w:val="24"/>
    <w:basedOn w:val="32"/>
    <w:qFormat/>
    <w:uiPriority w:val="0"/>
    <w:pPr>
      <w:tabs>
        <w:tab w:val="left" w:pos="4725"/>
        <w:tab w:val="clear" w:pos="4153"/>
        <w:tab w:val="clear" w:pos="8306"/>
      </w:tabs>
      <w:snapToGrid/>
      <w:jc w:val="both"/>
    </w:pPr>
    <w:rPr>
      <w:sz w:val="21"/>
      <w:szCs w:val="24"/>
    </w:rPr>
  </w:style>
  <w:style w:type="paragraph" w:customStyle="1" w:styleId="318">
    <w:name w:val="标题4"/>
    <w:basedOn w:val="6"/>
    <w:uiPriority w:val="0"/>
    <w:pPr>
      <w:keepLines w:val="0"/>
      <w:tabs>
        <w:tab w:val="left" w:pos="0"/>
        <w:tab w:val="left" w:pos="720"/>
        <w:tab w:val="left" w:pos="1260"/>
      </w:tabs>
      <w:adjustRightInd w:val="0"/>
      <w:spacing w:before="0" w:after="0" w:line="360" w:lineRule="auto"/>
      <w:ind w:left="720" w:hanging="720"/>
      <w:textAlignment w:val="baseline"/>
    </w:pPr>
    <w:rPr>
      <w:rFonts w:eastAsia="宋体"/>
      <w:b w:val="0"/>
      <w:color w:val="FF0000"/>
      <w:kern w:val="0"/>
      <w:sz w:val="24"/>
      <w:szCs w:val="24"/>
    </w:rPr>
  </w:style>
  <w:style w:type="paragraph" w:customStyle="1" w:styleId="319">
    <w:name w:val="缺省文本"/>
    <w:basedOn w:val="1"/>
    <w:qFormat/>
    <w:uiPriority w:val="0"/>
    <w:pPr>
      <w:autoSpaceDE w:val="0"/>
      <w:autoSpaceDN w:val="0"/>
      <w:adjustRightInd w:val="0"/>
      <w:spacing w:line="360" w:lineRule="auto"/>
      <w:jc w:val="left"/>
    </w:pPr>
    <w:rPr>
      <w:kern w:val="0"/>
      <w:sz w:val="18"/>
      <w:szCs w:val="21"/>
    </w:rPr>
  </w:style>
  <w:style w:type="paragraph" w:customStyle="1" w:styleId="32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21">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22">
    <w:name w:val="Table Paragraph"/>
    <w:basedOn w:val="1"/>
    <w:qFormat/>
    <w:uiPriority w:val="1"/>
    <w:pPr>
      <w:jc w:val="left"/>
    </w:pPr>
    <w:rPr>
      <w:rFonts w:ascii="宋体" w:hAnsi="宋体" w:cs="宋体"/>
      <w:kern w:val="0"/>
      <w:sz w:val="22"/>
      <w:szCs w:val="22"/>
      <w:lang w:eastAsia="en-US"/>
    </w:rPr>
  </w:style>
  <w:style w:type="paragraph" w:customStyle="1" w:styleId="323">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24">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325">
    <w:name w:val="样式 标题 1 + 小三"/>
    <w:basedOn w:val="2"/>
    <w:qFormat/>
    <w:uiPriority w:val="0"/>
    <w:pPr>
      <w:tabs>
        <w:tab w:val="left" w:pos="1980"/>
      </w:tabs>
      <w:spacing w:line="576" w:lineRule="auto"/>
      <w:ind w:left="0" w:firstLine="0"/>
    </w:pPr>
    <w:rPr>
      <w:sz w:val="30"/>
      <w:szCs w:val="32"/>
    </w:rPr>
  </w:style>
  <w:style w:type="paragraph" w:customStyle="1" w:styleId="326">
    <w:name w:val="样式C3"/>
    <w:basedOn w:val="1"/>
    <w:qFormat/>
    <w:uiPriority w:val="0"/>
    <w:pPr>
      <w:snapToGrid w:val="0"/>
      <w:spacing w:line="360" w:lineRule="auto"/>
      <w:jc w:val="left"/>
    </w:pPr>
    <w:rPr>
      <w:rFonts w:ascii="仿宋_GB2312" w:hAnsi="宋体" w:eastAsia="仿宋_GB2312"/>
      <w:b/>
      <w:kern w:val="44"/>
      <w:sz w:val="28"/>
      <w:szCs w:val="28"/>
    </w:rPr>
  </w:style>
  <w:style w:type="paragraph" w:customStyle="1" w:styleId="327">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28">
    <w:name w:val="目录 31"/>
    <w:basedOn w:val="1"/>
    <w:next w:val="1"/>
    <w:uiPriority w:val="39"/>
    <w:pPr>
      <w:ind w:left="420"/>
      <w:jc w:val="left"/>
    </w:pPr>
    <w:rPr>
      <w:i/>
      <w:iCs/>
      <w:sz w:val="20"/>
      <w:szCs w:val="20"/>
    </w:rPr>
  </w:style>
  <w:style w:type="paragraph" w:customStyle="1" w:styleId="329">
    <w:name w:val="页眉1"/>
    <w:qFormat/>
    <w:uiPriority w:val="0"/>
    <w:pPr>
      <w:widowControl w:val="0"/>
      <w:autoSpaceDE w:val="0"/>
      <w:autoSpaceDN w:val="0"/>
      <w:adjustRightInd w:val="0"/>
    </w:pPr>
    <w:rPr>
      <w:rFonts w:ascii="Arial" w:hAnsi="Arial" w:eastAsia="宋体" w:cs="Times New Roman"/>
      <w:color w:val="000000"/>
      <w:lang w:val="en-US" w:eastAsia="zh-CN" w:bidi="ar-SA"/>
    </w:rPr>
  </w:style>
  <w:style w:type="paragraph" w:customStyle="1" w:styleId="330">
    <w:name w:val="5"/>
    <w:basedOn w:val="1"/>
    <w:next w:val="21"/>
    <w:qFormat/>
    <w:uiPriority w:val="0"/>
    <w:pPr>
      <w:suppressAutoHyphens/>
      <w:spacing w:after="120" w:line="360" w:lineRule="auto"/>
    </w:pPr>
    <w:rPr>
      <w:kern w:val="1"/>
      <w:lang w:eastAsia="ar-SA"/>
    </w:rPr>
  </w:style>
  <w:style w:type="paragraph" w:customStyle="1" w:styleId="331">
    <w:name w:val="基准标题"/>
    <w:basedOn w:val="21"/>
    <w:next w:val="21"/>
    <w:qFormat/>
    <w:uiPriority w:val="0"/>
    <w:pPr>
      <w:keepNext/>
      <w:keepLines/>
      <w:widowControl/>
      <w:tabs>
        <w:tab w:val="left" w:pos="600"/>
        <w:tab w:val="left" w:pos="960"/>
        <w:tab w:val="left" w:pos="1080"/>
      </w:tabs>
      <w:overflowPunct w:val="0"/>
      <w:spacing w:before="120" w:after="0"/>
    </w:pPr>
    <w:rPr>
      <w:rFonts w:ascii="Arial" w:hAnsi="Arial"/>
      <w:spacing w:val="-10"/>
      <w:kern w:val="20"/>
      <w:szCs w:val="20"/>
    </w:rPr>
  </w:style>
  <w:style w:type="paragraph" w:customStyle="1" w:styleId="332">
    <w:name w:val="标准正文 Char"/>
    <w:basedOn w:val="22"/>
    <w:qFormat/>
    <w:uiPriority w:val="0"/>
    <w:pPr>
      <w:autoSpaceDE w:val="0"/>
      <w:autoSpaceDN w:val="0"/>
      <w:spacing w:after="0" w:line="360" w:lineRule="auto"/>
      <w:ind w:left="181" w:leftChars="0" w:firstLine="539"/>
    </w:pPr>
    <w:rPr>
      <w:rFonts w:ascii="Calibri" w:hAnsi="Calibri"/>
      <w:sz w:val="24"/>
      <w:szCs w:val="22"/>
    </w:rPr>
  </w:style>
  <w:style w:type="paragraph" w:customStyle="1" w:styleId="333">
    <w:name w:val="正文文本缩进1"/>
    <w:basedOn w:val="1"/>
    <w:qFormat/>
    <w:uiPriority w:val="0"/>
    <w:pPr>
      <w:tabs>
        <w:tab w:val="left" w:pos="567"/>
      </w:tabs>
      <w:adjustRightInd w:val="0"/>
      <w:snapToGrid w:val="0"/>
      <w:spacing w:line="480" w:lineRule="atLeast"/>
      <w:ind w:firstLine="567"/>
    </w:pPr>
    <w:rPr>
      <w:color w:val="000000"/>
      <w:kern w:val="0"/>
      <w:sz w:val="28"/>
      <w:szCs w:val="28"/>
    </w:rPr>
  </w:style>
  <w:style w:type="paragraph" w:customStyle="1" w:styleId="33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5">
    <w:name w:val="默认段落字体 Para Char Char Char Char Char"/>
    <w:basedOn w:val="1"/>
    <w:qFormat/>
    <w:uiPriority w:val="0"/>
    <w:pPr>
      <w:adjustRightInd w:val="0"/>
      <w:spacing w:line="360" w:lineRule="auto"/>
    </w:pPr>
  </w:style>
  <w:style w:type="paragraph" w:customStyle="1" w:styleId="336">
    <w:name w:val="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7">
    <w:name w:val="样式 标题 22nd levelh22Header 2l2H2第一层条Underrubrik1prop2He..."/>
    <w:basedOn w:val="3"/>
    <w:qFormat/>
    <w:uiPriority w:val="0"/>
    <w:pPr>
      <w:keepLines w:val="0"/>
      <w:tabs>
        <w:tab w:val="left" w:pos="1247"/>
        <w:tab w:val="clear" w:pos="180"/>
        <w:tab w:val="clear" w:pos="360"/>
      </w:tabs>
      <w:adjustRightInd/>
      <w:spacing w:before="0" w:line="413" w:lineRule="auto"/>
      <w:ind w:left="1247" w:right="0" w:rightChars="0" w:hanging="567"/>
      <w:jc w:val="both"/>
    </w:pPr>
    <w:rPr>
      <w:rFonts w:ascii="仿宋_GB2312" w:hAnsi="仿宋_GB2312" w:eastAsia="仿宋_GB2312"/>
      <w:bCs/>
      <w:kern w:val="2"/>
      <w:sz w:val="32"/>
      <w:szCs w:val="32"/>
    </w:rPr>
  </w:style>
  <w:style w:type="paragraph" w:customStyle="1" w:styleId="338">
    <w:name w:val="目录 71"/>
    <w:basedOn w:val="1"/>
    <w:next w:val="1"/>
    <w:uiPriority w:val="0"/>
    <w:pPr>
      <w:ind w:left="1260"/>
      <w:jc w:val="left"/>
    </w:pPr>
    <w:rPr>
      <w:sz w:val="18"/>
      <w:szCs w:val="18"/>
    </w:rPr>
  </w:style>
  <w:style w:type="paragraph" w:customStyle="1" w:styleId="339">
    <w:name w:val="样式 标题 2 + Times New Roman 四号 非加粗 段前: 5 磅 段后: 0 磅 行距: 固定值 20..."/>
    <w:basedOn w:val="3"/>
    <w:uiPriority w:val="0"/>
    <w:pPr>
      <w:tabs>
        <w:tab w:val="clear" w:pos="180"/>
        <w:tab w:val="clear" w:pos="360"/>
      </w:tabs>
      <w:adjustRightInd/>
      <w:spacing w:before="100" w:line="400" w:lineRule="exact"/>
      <w:ind w:right="0" w:rightChars="0"/>
      <w:jc w:val="both"/>
    </w:pPr>
    <w:rPr>
      <w:rFonts w:ascii="Times New Roman" w:hAnsi="Times New Roman" w:eastAsia="黑体" w:cs="宋体"/>
      <w:b w:val="0"/>
      <w:kern w:val="2"/>
    </w:rPr>
  </w:style>
  <w:style w:type="paragraph" w:customStyle="1" w:styleId="340">
    <w:name w:val="ALT+Z"/>
    <w:basedOn w:val="1"/>
    <w:next w:val="4"/>
    <w:qFormat/>
    <w:uiPriority w:val="0"/>
    <w:pPr>
      <w:suppressAutoHyphens/>
      <w:autoSpaceDE w:val="0"/>
      <w:spacing w:line="360" w:lineRule="auto"/>
      <w:ind w:left="181" w:firstLine="420"/>
    </w:pPr>
    <w:rPr>
      <w:kern w:val="1"/>
      <w:sz w:val="24"/>
      <w:szCs w:val="20"/>
      <w:lang w:eastAsia="ar-SA"/>
    </w:rPr>
  </w:style>
  <w:style w:type="paragraph" w:customStyle="1" w:styleId="341">
    <w:name w:val="正文内容"/>
    <w:basedOn w:val="1"/>
    <w:uiPriority w:val="0"/>
    <w:rPr>
      <w:rFonts w:ascii="Arial" w:hAnsi="Arial"/>
      <w:spacing w:val="-12"/>
      <w:szCs w:val="20"/>
    </w:rPr>
  </w:style>
  <w:style w:type="paragraph" w:customStyle="1" w:styleId="342">
    <w:name w:val="样式 标题 3H3h33rd levelLevel 3 Headl3CTHeading 3 - oldISO2...2"/>
    <w:basedOn w:val="5"/>
    <w:uiPriority w:val="0"/>
    <w:pPr>
      <w:keepNext w:val="0"/>
      <w:keepLines w:val="0"/>
      <w:tabs>
        <w:tab w:val="left" w:pos="851"/>
        <w:tab w:val="left" w:pos="1389"/>
      </w:tabs>
      <w:suppressAutoHyphens/>
      <w:autoSpaceDE w:val="0"/>
      <w:adjustRightInd/>
      <w:spacing w:before="0" w:after="0" w:line="480" w:lineRule="auto"/>
      <w:jc w:val="left"/>
      <w:textAlignment w:val="auto"/>
    </w:pPr>
    <w:rPr>
      <w:rFonts w:ascii="宋体" w:hAnsi="宋体"/>
      <w:bCs/>
      <w:color w:val="000000"/>
      <w:kern w:val="1"/>
      <w:sz w:val="24"/>
      <w:szCs w:val="24"/>
      <w:lang w:eastAsia="ar-SA"/>
    </w:rPr>
  </w:style>
  <w:style w:type="paragraph" w:customStyle="1" w:styleId="34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4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45">
    <w:name w:val="预格式化的正文"/>
    <w:basedOn w:val="1"/>
    <w:qFormat/>
    <w:uiPriority w:val="0"/>
    <w:pPr>
      <w:suppressAutoHyphens/>
      <w:jc w:val="left"/>
    </w:pPr>
    <w:rPr>
      <w:rFonts w:ascii="文鼎PL细上海宋Uni" w:hAnsi="文鼎PL细上海宋Uni" w:eastAsia="文鼎PL细上海宋Uni" w:cs="文鼎PL细上海宋Uni"/>
      <w:kern w:val="1"/>
      <w:sz w:val="20"/>
      <w:szCs w:val="20"/>
    </w:rPr>
  </w:style>
  <w:style w:type="paragraph" w:customStyle="1" w:styleId="346">
    <w:name w:val="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7">
    <w:name w:val="表格"/>
    <w:basedOn w:val="1"/>
    <w:uiPriority w:val="0"/>
    <w:pPr>
      <w:jc w:val="center"/>
      <w:textAlignment w:val="center"/>
    </w:pPr>
    <w:rPr>
      <w:rFonts w:ascii="华文细黑" w:hAnsi="华文细黑"/>
      <w:kern w:val="0"/>
      <w:szCs w:val="20"/>
    </w:rPr>
  </w:style>
  <w:style w:type="paragraph" w:customStyle="1" w:styleId="348">
    <w:name w:val="标准正文"/>
    <w:basedOn w:val="22"/>
    <w:qFormat/>
    <w:uiPriority w:val="0"/>
    <w:pPr>
      <w:autoSpaceDE w:val="0"/>
      <w:autoSpaceDN w:val="0"/>
      <w:spacing w:after="0" w:line="360" w:lineRule="auto"/>
      <w:ind w:left="181" w:leftChars="0" w:firstLine="539"/>
    </w:pPr>
    <w:rPr>
      <w:rFonts w:ascii="Calibri" w:hAnsi="Calibri"/>
      <w:sz w:val="24"/>
      <w:szCs w:val="22"/>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350">
    <w:name w:val="一级条标题"/>
    <w:basedOn w:val="264"/>
    <w:next w:val="265"/>
    <w:uiPriority w:val="0"/>
    <w:pPr>
      <w:spacing w:before="0" w:beforeLines="0" w:after="0" w:afterLines="0"/>
      <w:outlineLvl w:val="2"/>
    </w:pPr>
  </w:style>
  <w:style w:type="paragraph" w:customStyle="1" w:styleId="351">
    <w:name w:val="Numbering"/>
    <w:basedOn w:val="27"/>
    <w:qFormat/>
    <w:uiPriority w:val="0"/>
    <w:pPr>
      <w:tabs>
        <w:tab w:val="left" w:pos="360"/>
        <w:tab w:val="left" w:pos="960"/>
      </w:tabs>
      <w:spacing w:line="360" w:lineRule="auto"/>
      <w:ind w:firstLine="510"/>
      <w:jc w:val="left"/>
    </w:pPr>
    <w:rPr>
      <w:rFonts w:ascii="Times New Roman" w:hAnsi="Times New Roman" w:cs="Times New Roman"/>
      <w:sz w:val="24"/>
      <w:szCs w:val="28"/>
    </w:rPr>
  </w:style>
  <w:style w:type="paragraph" w:customStyle="1" w:styleId="352">
    <w:name w:val="正文文本 21"/>
    <w:basedOn w:val="1"/>
    <w:qFormat/>
    <w:uiPriority w:val="0"/>
    <w:pPr>
      <w:adjustRightInd w:val="0"/>
      <w:ind w:left="491" w:hanging="71"/>
      <w:textAlignment w:val="baseline"/>
    </w:pPr>
    <w:rPr>
      <w:rFonts w:ascii="宋体"/>
      <w:color w:val="000080"/>
      <w:kern w:val="0"/>
      <w:szCs w:val="20"/>
    </w:rPr>
  </w:style>
  <w:style w:type="paragraph" w:customStyle="1" w:styleId="353">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54">
    <w:name w:val="xl29"/>
    <w:basedOn w:val="1"/>
    <w:qFormat/>
    <w:uiPriority w:val="0"/>
    <w:pPr>
      <w:widowControl/>
      <w:spacing w:before="100" w:beforeAutospacing="1" w:after="100" w:afterAutospacing="1"/>
      <w:jc w:val="center"/>
    </w:pPr>
    <w:rPr>
      <w:rFonts w:hint="eastAsia" w:ascii="Arial Unicode MS" w:hAnsi="Arial Unicode MS" w:eastAsia="Arial Unicode MS"/>
      <w:kern w:val="0"/>
      <w:sz w:val="24"/>
    </w:rPr>
  </w:style>
  <w:style w:type="paragraph" w:customStyle="1" w:styleId="355">
    <w:name w:val="2"/>
    <w:basedOn w:val="1"/>
    <w:next w:val="24"/>
    <w:qFormat/>
    <w:uiPriority w:val="0"/>
    <w:pPr>
      <w:tabs>
        <w:tab w:val="bar" w:pos="-1200"/>
        <w:tab w:val="left" w:pos="420"/>
        <w:tab w:val="left" w:pos="945"/>
        <w:tab w:val="center" w:pos="8640"/>
      </w:tabs>
      <w:adjustRightInd w:val="0"/>
      <w:spacing w:line="295" w:lineRule="auto"/>
      <w:ind w:left="943" w:leftChars="393" w:right="6" w:firstLine="420"/>
      <w:jc w:val="left"/>
      <w:textAlignment w:val="baseline"/>
    </w:pPr>
    <w:rPr>
      <w:rFonts w:ascii="楷体_GB2312" w:hAnsi="宋体" w:eastAsia="楷体_GB2312"/>
      <w:kern w:val="0"/>
      <w:sz w:val="28"/>
      <w:szCs w:val="28"/>
    </w:rPr>
  </w:style>
  <w:style w:type="paragraph" w:customStyle="1" w:styleId="356">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7">
    <w:name w:val="前言、引言标题"/>
    <w:next w:val="1"/>
    <w:uiPriority w:val="0"/>
    <w:pPr>
      <w:shd w:val="clear" w:color="FFFFFF" w:fill="FFFFFF"/>
      <w:spacing w:before="640" w:after="560"/>
      <w:ind w:left="432" w:hanging="432"/>
      <w:jc w:val="center"/>
      <w:outlineLvl w:val="0"/>
    </w:pPr>
    <w:rPr>
      <w:rFonts w:ascii="黑体" w:hAnsi="Times New Roman" w:eastAsia="黑体" w:cs="Times New Roman"/>
      <w:sz w:val="32"/>
      <w:lang w:val="en-US" w:eastAsia="zh-CN" w:bidi="ar-SA"/>
    </w:rPr>
  </w:style>
  <w:style w:type="paragraph" w:customStyle="1" w:styleId="3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5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60">
    <w:name w:val="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1">
    <w:name w:val="样式 标题 1 + 非加粗 段前: 1 行 段后: 1 行"/>
    <w:basedOn w:val="2"/>
    <w:qFormat/>
    <w:uiPriority w:val="0"/>
    <w:pPr>
      <w:keepLines w:val="0"/>
      <w:tabs>
        <w:tab w:val="left" w:pos="1980"/>
      </w:tabs>
      <w:adjustRightInd w:val="0"/>
      <w:spacing w:before="0" w:beforeLines="100" w:after="0" w:afterLines="100" w:line="480" w:lineRule="exact"/>
      <w:ind w:left="0" w:firstLine="0"/>
      <w:textAlignment w:val="baseline"/>
    </w:pPr>
    <w:rPr>
      <w:bCs w:val="0"/>
      <w:spacing w:val="-20"/>
      <w:kern w:val="0"/>
      <w:sz w:val="28"/>
      <w:szCs w:val="20"/>
    </w:rPr>
  </w:style>
  <w:style w:type="paragraph" w:customStyle="1" w:styleId="3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363">
    <w:name w:val="列表正文"/>
    <w:basedOn w:val="1"/>
    <w:qFormat/>
    <w:uiPriority w:val="0"/>
    <w:pPr>
      <w:adjustRightInd w:val="0"/>
      <w:snapToGrid w:val="0"/>
      <w:spacing w:line="300" w:lineRule="auto"/>
      <w:ind w:left="200" w:leftChars="200" w:firstLine="200" w:firstLineChars="200"/>
    </w:pPr>
  </w:style>
  <w:style w:type="paragraph" w:customStyle="1" w:styleId="364">
    <w:name w:val="正文 New"/>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5">
    <w:name w:val="纯文本11"/>
    <w:basedOn w:val="1"/>
    <w:qFormat/>
    <w:uiPriority w:val="0"/>
    <w:pPr>
      <w:autoSpaceDE w:val="0"/>
      <w:autoSpaceDN w:val="0"/>
      <w:adjustRightInd w:val="0"/>
    </w:pPr>
    <w:rPr>
      <w:rFonts w:hint="eastAsia" w:ascii="宋体"/>
      <w:sz w:val="24"/>
      <w:szCs w:val="20"/>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
    <w:basedOn w:val="1"/>
    <w:next w:val="24"/>
    <w:qFormat/>
    <w:uiPriority w:val="0"/>
    <w:pPr>
      <w:suppressAutoHyphens/>
      <w:ind w:left="572" w:right="32" w:firstLine="478"/>
    </w:pPr>
    <w:rPr>
      <w:kern w:val="1"/>
      <w:szCs w:val="21"/>
      <w:lang w:eastAsia="ar-SA"/>
    </w:rPr>
  </w:style>
  <w:style w:type="paragraph" w:customStyle="1" w:styleId="368">
    <w:name w:val="正文＋小四＋缩进2字符"/>
    <w:basedOn w:val="1"/>
    <w:uiPriority w:val="0"/>
    <w:pPr>
      <w:spacing w:line="360" w:lineRule="auto"/>
      <w:ind w:firstLine="200" w:firstLineChars="200"/>
    </w:pPr>
    <w:rPr>
      <w:sz w:val="24"/>
    </w:rPr>
  </w:style>
  <w:style w:type="paragraph" w:customStyle="1" w:styleId="3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0">
    <w:name w:val="表格标题"/>
    <w:basedOn w:val="371"/>
    <w:qFormat/>
    <w:uiPriority w:val="0"/>
    <w:pPr>
      <w:jc w:val="center"/>
    </w:pPr>
    <w:rPr>
      <w:b/>
      <w:bCs/>
    </w:rPr>
  </w:style>
  <w:style w:type="paragraph" w:customStyle="1" w:styleId="371">
    <w:name w:val="表格内容"/>
    <w:basedOn w:val="1"/>
    <w:qFormat/>
    <w:uiPriority w:val="0"/>
    <w:pPr>
      <w:suppressLineNumbers/>
      <w:suppressAutoHyphens/>
    </w:pPr>
    <w:rPr>
      <w:kern w:val="1"/>
      <w:lang w:eastAsia="ar-SA"/>
    </w:rPr>
  </w:style>
  <w:style w:type="paragraph" w:customStyle="1" w:styleId="37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73">
    <w:name w:val="二级条标题"/>
    <w:basedOn w:val="350"/>
    <w:next w:val="265"/>
    <w:uiPriority w:val="0"/>
    <w:pPr>
      <w:outlineLvl w:val="3"/>
    </w:pPr>
  </w:style>
  <w:style w:type="paragraph" w:customStyle="1" w:styleId="374">
    <w:name w:val="font7"/>
    <w:basedOn w:val="1"/>
    <w:qFormat/>
    <w:uiPriority w:val="0"/>
    <w:pPr>
      <w:widowControl/>
      <w:spacing w:before="100" w:beforeAutospacing="1" w:after="100" w:afterAutospacing="1"/>
      <w:jc w:val="left"/>
    </w:pPr>
    <w:rPr>
      <w:kern w:val="0"/>
      <w:sz w:val="22"/>
      <w:szCs w:val="22"/>
    </w:rPr>
  </w:style>
  <w:style w:type="paragraph" w:customStyle="1" w:styleId="375">
    <w:name w:val="Char Char Char Char Char Char Char Char1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6">
    <w:name w:val="题注5"/>
    <w:basedOn w:val="1"/>
    <w:next w:val="16"/>
    <w:qFormat/>
    <w:uiPriority w:val="0"/>
    <w:pPr>
      <w:jc w:val="center"/>
    </w:pPr>
    <w:rPr>
      <w:b/>
      <w:color w:val="000000"/>
      <w:sz w:val="24"/>
      <w:szCs w:val="21"/>
    </w:rPr>
  </w:style>
  <w:style w:type="paragraph" w:customStyle="1" w:styleId="3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78">
    <w:name w:val="Table Heading"/>
    <w:basedOn w:val="1"/>
    <w:qFormat/>
    <w:uiPriority w:val="0"/>
    <w:pPr>
      <w:widowControl/>
      <w:jc w:val="center"/>
    </w:pPr>
    <w:rPr>
      <w:rFonts w:ascii="Arial" w:hAnsi="Arial"/>
      <w:b/>
      <w:kern w:val="0"/>
      <w:sz w:val="18"/>
      <w:szCs w:val="20"/>
    </w:rPr>
  </w:style>
  <w:style w:type="paragraph" w:customStyle="1" w:styleId="379">
    <w:name w:val="a"/>
    <w:basedOn w:val="1"/>
    <w:qFormat/>
    <w:uiPriority w:val="0"/>
    <w:pPr>
      <w:widowControl/>
      <w:spacing w:line="460" w:lineRule="atLeast"/>
      <w:ind w:firstLine="567"/>
    </w:pPr>
    <w:rPr>
      <w:rFonts w:ascii="Arial Narrow" w:hAnsi="Arial Narrow" w:cs="宋体"/>
      <w:kern w:val="0"/>
      <w:sz w:val="28"/>
      <w:szCs w:val="28"/>
    </w:rPr>
  </w:style>
  <w:style w:type="paragraph" w:customStyle="1" w:styleId="380">
    <w:name w:val="BodyText"/>
    <w:basedOn w:val="27"/>
    <w:qFormat/>
    <w:uiPriority w:val="0"/>
    <w:pPr>
      <w:spacing w:line="360" w:lineRule="auto"/>
      <w:ind w:firstLine="510"/>
    </w:pPr>
    <w:rPr>
      <w:rFonts w:ascii="Times New Roman" w:hAnsi="宋体" w:cs="Times New Roman"/>
      <w:color w:val="000000"/>
      <w:sz w:val="24"/>
      <w:szCs w:val="28"/>
    </w:rPr>
  </w:style>
  <w:style w:type="paragraph" w:customStyle="1" w:styleId="381">
    <w:name w:val="节"/>
    <w:basedOn w:val="3"/>
    <w:uiPriority w:val="0"/>
    <w:pPr>
      <w:tabs>
        <w:tab w:val="left" w:pos="576"/>
        <w:tab w:val="clear" w:pos="180"/>
        <w:tab w:val="clear" w:pos="360"/>
      </w:tabs>
      <w:adjustRightInd/>
      <w:spacing w:before="260" w:after="260" w:line="240" w:lineRule="auto"/>
      <w:ind w:left="576" w:right="0" w:rightChars="0" w:hanging="576"/>
      <w:jc w:val="both"/>
    </w:pPr>
    <w:rPr>
      <w:rFonts w:ascii="黑体" w:eastAsia="黑体"/>
      <w:b w:val="0"/>
      <w:bCs/>
      <w:kern w:val="2"/>
      <w:szCs w:val="28"/>
    </w:rPr>
  </w:style>
  <w:style w:type="paragraph" w:customStyle="1" w:styleId="382">
    <w:name w:val="Char Char2 Char11"/>
    <w:basedOn w:val="1"/>
    <w:uiPriority w:val="0"/>
    <w:rPr>
      <w:rFonts w:ascii="宋体" w:hAnsi="宋体"/>
      <w:b/>
      <w:sz w:val="28"/>
      <w:szCs w:val="28"/>
    </w:rPr>
  </w:style>
  <w:style w:type="paragraph" w:customStyle="1" w:styleId="383">
    <w:name w:val="正文缩进1"/>
    <w:basedOn w:val="1"/>
    <w:qFormat/>
    <w:uiPriority w:val="0"/>
    <w:pPr>
      <w:ind w:firstLine="567"/>
    </w:pPr>
    <w:rPr>
      <w:spacing w:val="20"/>
      <w:sz w:val="24"/>
      <w:szCs w:val="20"/>
    </w:rPr>
  </w:style>
  <w:style w:type="paragraph" w:customStyle="1" w:styleId="384">
    <w:name w:val="z1"/>
    <w:basedOn w:val="1"/>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385">
    <w:name w:val="3"/>
    <w:basedOn w:val="1"/>
    <w:next w:val="24"/>
    <w:qFormat/>
    <w:uiPriority w:val="0"/>
    <w:pPr>
      <w:tabs>
        <w:tab w:val="bar" w:pos="-1200"/>
        <w:tab w:val="left" w:pos="720"/>
        <w:tab w:val="left" w:pos="945"/>
        <w:tab w:val="center" w:pos="8640"/>
      </w:tabs>
      <w:adjustRightInd w:val="0"/>
      <w:spacing w:line="295" w:lineRule="auto"/>
      <w:ind w:left="943" w:leftChars="393" w:right="6" w:firstLine="420"/>
      <w:jc w:val="left"/>
      <w:textAlignment w:val="baseline"/>
    </w:pPr>
    <w:rPr>
      <w:rFonts w:ascii="楷体_GB2312" w:hAnsi="宋体" w:eastAsia="楷体_GB2312"/>
      <w:kern w:val="0"/>
      <w:sz w:val="28"/>
      <w:szCs w:val="28"/>
    </w:rPr>
  </w:style>
  <w:style w:type="paragraph" w:customStyle="1" w:styleId="386">
    <w:name w:val="条文1 Char"/>
    <w:basedOn w:val="1"/>
    <w:uiPriority w:val="0"/>
    <w:pPr>
      <w:tabs>
        <w:tab w:val="left" w:pos="425"/>
      </w:tabs>
      <w:spacing w:line="360" w:lineRule="auto"/>
      <w:ind w:left="425" w:hanging="425"/>
    </w:pPr>
    <w:rPr>
      <w:rFonts w:hint="eastAsia" w:ascii="MS UI Gothic" w:hAnsi="MS UI Gothic"/>
      <w:bCs/>
      <w:kern w:val="44"/>
      <w:sz w:val="24"/>
      <w:szCs w:val="44"/>
    </w:rPr>
  </w:style>
  <w:style w:type="paragraph" w:customStyle="1" w:styleId="387">
    <w:name w:val="Numbered"/>
    <w:basedOn w:val="1"/>
    <w:qFormat/>
    <w:uiPriority w:val="0"/>
    <w:pPr>
      <w:tabs>
        <w:tab w:val="left" w:pos="1274"/>
      </w:tabs>
      <w:spacing w:line="360" w:lineRule="auto"/>
      <w:ind w:left="432" w:hanging="432"/>
    </w:pPr>
    <w:rPr>
      <w:sz w:val="24"/>
      <w:szCs w:val="20"/>
    </w:rPr>
  </w:style>
  <w:style w:type="paragraph" w:customStyle="1" w:styleId="388">
    <w:name w:val="Char"/>
    <w:basedOn w:val="1"/>
    <w:qFormat/>
    <w:uiPriority w:val="0"/>
    <w:pPr>
      <w:tabs>
        <w:tab w:val="left" w:pos="360"/>
      </w:tabs>
    </w:pPr>
    <w:rPr>
      <w:sz w:val="24"/>
    </w:rPr>
  </w:style>
  <w:style w:type="paragraph" w:customStyle="1" w:styleId="3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90">
    <w:name w:val="CSS1级正文 Char"/>
    <w:basedOn w:val="21"/>
    <w:qFormat/>
    <w:uiPriority w:val="0"/>
  </w:style>
  <w:style w:type="paragraph" w:customStyle="1" w:styleId="391">
    <w:name w:val="P标3"/>
    <w:basedOn w:val="5"/>
    <w:qFormat/>
    <w:uiPriority w:val="0"/>
    <w:pPr>
      <w:keepNext w:val="0"/>
      <w:keepLines w:val="0"/>
      <w:tabs>
        <w:tab w:val="left" w:pos="851"/>
        <w:tab w:val="left" w:pos="1389"/>
      </w:tabs>
      <w:suppressAutoHyphens/>
      <w:adjustRightInd/>
      <w:spacing w:before="0" w:after="0" w:line="240" w:lineRule="auto"/>
      <w:jc w:val="center"/>
      <w:textAlignment w:val="auto"/>
    </w:pPr>
    <w:rPr>
      <w:rFonts w:ascii="宋体" w:hAnsi="宋体"/>
      <w:b w:val="0"/>
      <w:color w:val="000000"/>
      <w:kern w:val="1"/>
      <w:sz w:val="24"/>
      <w:szCs w:val="24"/>
      <w:lang w:eastAsia="ar-SA"/>
    </w:rPr>
  </w:style>
  <w:style w:type="paragraph" w:customStyle="1" w:styleId="39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800080"/>
      <w:kern w:val="0"/>
      <w:sz w:val="22"/>
      <w:szCs w:val="22"/>
      <w:u w:val="single"/>
    </w:rPr>
  </w:style>
  <w:style w:type="paragraph" w:customStyle="1" w:styleId="393">
    <w:name w:val="Char Char Char Char Char Char Char Char Char3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三级条标题"/>
    <w:basedOn w:val="373"/>
    <w:next w:val="265"/>
    <w:uiPriority w:val="0"/>
    <w:pPr>
      <w:outlineLvl w:val="4"/>
    </w:pPr>
  </w:style>
  <w:style w:type="paragraph" w:customStyle="1" w:styleId="395">
    <w:name w:val="目录 11"/>
    <w:basedOn w:val="1"/>
    <w:next w:val="1"/>
    <w:uiPriority w:val="39"/>
    <w:pPr>
      <w:spacing w:before="120" w:after="120"/>
      <w:jc w:val="left"/>
    </w:pPr>
    <w:rPr>
      <w:b/>
      <w:bCs/>
      <w:caps/>
      <w:sz w:val="20"/>
      <w:szCs w:val="20"/>
    </w:rPr>
  </w:style>
  <w:style w:type="paragraph" w:customStyle="1" w:styleId="396">
    <w:name w:val="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97">
    <w:name w:val="样式 首行缩进:  2 字符1"/>
    <w:basedOn w:val="1"/>
    <w:qFormat/>
    <w:uiPriority w:val="0"/>
    <w:pPr>
      <w:spacing w:line="360" w:lineRule="auto"/>
    </w:pPr>
    <w:rPr>
      <w:rFonts w:ascii="宋体" w:hAnsi="宋体"/>
      <w:sz w:val="24"/>
      <w:szCs w:val="20"/>
    </w:rPr>
  </w:style>
  <w:style w:type="paragraph" w:customStyle="1" w:styleId="398">
    <w:name w:val="f-main"/>
    <w:basedOn w:val="1"/>
    <w:uiPriority w:val="0"/>
    <w:pPr>
      <w:widowControl/>
      <w:spacing w:before="100" w:beforeAutospacing="1" w:after="100" w:afterAutospacing="1"/>
      <w:jc w:val="left"/>
    </w:pPr>
    <w:rPr>
      <w:rFonts w:ascii="ˎ̥" w:hAnsi="ˎ̥" w:cs="宋体"/>
      <w:color w:val="385269"/>
      <w:kern w:val="0"/>
      <w:sz w:val="20"/>
      <w:szCs w:val="20"/>
    </w:rPr>
  </w:style>
  <w:style w:type="paragraph" w:customStyle="1" w:styleId="399">
    <w:name w:val="签名 - 公司"/>
    <w:basedOn w:val="34"/>
    <w:next w:val="258"/>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rPr>
  </w:style>
  <w:style w:type="paragraph" w:customStyle="1" w:styleId="400">
    <w:name w:val="目录"/>
    <w:basedOn w:val="1"/>
    <w:qFormat/>
    <w:uiPriority w:val="0"/>
    <w:pPr>
      <w:widowControl/>
      <w:spacing w:line="480" w:lineRule="auto"/>
      <w:jc w:val="center"/>
    </w:pPr>
    <w:rPr>
      <w:rFonts w:ascii="宋体"/>
      <w:b/>
      <w:kern w:val="0"/>
      <w:sz w:val="24"/>
      <w:szCs w:val="20"/>
    </w:rPr>
  </w:style>
  <w:style w:type="paragraph" w:customStyle="1" w:styleId="401">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402">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3">
    <w:name w:val="目录 41"/>
    <w:basedOn w:val="1"/>
    <w:next w:val="1"/>
    <w:uiPriority w:val="39"/>
    <w:pPr>
      <w:ind w:left="630"/>
      <w:jc w:val="left"/>
    </w:pPr>
    <w:rPr>
      <w:sz w:val="18"/>
      <w:szCs w:val="18"/>
    </w:rPr>
  </w:style>
  <w:style w:type="paragraph" w:customStyle="1" w:styleId="404">
    <w:name w:val="Char2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05">
    <w:name w:val="章目"/>
    <w:basedOn w:val="1"/>
    <w:qFormat/>
    <w:uiPriority w:val="0"/>
    <w:pPr>
      <w:widowControl/>
      <w:suppressAutoHyphens/>
      <w:spacing w:line="360" w:lineRule="auto"/>
      <w:jc w:val="left"/>
    </w:pPr>
    <w:rPr>
      <w:rFonts w:ascii="Verdana" w:hAnsi="Verdana"/>
      <w:kern w:val="1"/>
      <w:sz w:val="44"/>
      <w:szCs w:val="21"/>
      <w:lang w:eastAsia="ar-SA"/>
    </w:rPr>
  </w:style>
  <w:style w:type="paragraph" w:customStyle="1" w:styleId="406">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407">
    <w:name w:val="默认段落字体 Para Char Char Char Char Char Char Char Char Char Char Char Char Char Char"/>
    <w:basedOn w:val="18"/>
    <w:qFormat/>
    <w:uiPriority w:val="0"/>
    <w:rPr>
      <w:rFonts w:ascii="Calibri" w:hAnsi="Calibri"/>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23"/>
    <w:basedOn w:val="33"/>
    <w:qFormat/>
    <w:uiPriority w:val="0"/>
    <w:pPr>
      <w:pBdr>
        <w:bottom w:val="single" w:color="auto" w:sz="4" w:space="1"/>
      </w:pBdr>
      <w:jc w:val="both"/>
    </w:pPr>
  </w:style>
  <w:style w:type="paragraph" w:customStyle="1" w:styleId="410">
    <w:name w:val="表格文字"/>
    <w:basedOn w:val="1"/>
    <w:qFormat/>
    <w:uiPriority w:val="0"/>
    <w:pPr>
      <w:spacing w:before="25" w:after="25"/>
      <w:jc w:val="left"/>
    </w:pPr>
    <w:rPr>
      <w:rFonts w:hint="eastAsia"/>
      <w:spacing w:val="10"/>
      <w:sz w:val="24"/>
      <w:szCs w:val="20"/>
    </w:rPr>
  </w:style>
  <w:style w:type="paragraph" w:customStyle="1" w:styleId="411">
    <w:name w:val="样式 标题 4 + 宋体 小四"/>
    <w:basedOn w:val="6"/>
    <w:qFormat/>
    <w:uiPriority w:val="0"/>
    <w:pPr>
      <w:keepNext w:val="0"/>
      <w:keepLines w:val="0"/>
      <w:widowControl/>
      <w:tabs>
        <w:tab w:val="left" w:pos="425"/>
        <w:tab w:val="left" w:pos="851"/>
        <w:tab w:val="left" w:pos="864"/>
        <w:tab w:val="left" w:pos="1531"/>
      </w:tabs>
      <w:spacing w:before="0" w:after="0" w:line="240" w:lineRule="auto"/>
      <w:ind w:left="425" w:hanging="425"/>
      <w:jc w:val="left"/>
    </w:pPr>
    <w:rPr>
      <w:rFonts w:ascii="宋体" w:hAnsi="宋体" w:eastAsia="宋体" w:cs="宋体"/>
      <w:b w:val="0"/>
      <w:sz w:val="24"/>
      <w:szCs w:val="24"/>
    </w:rPr>
  </w:style>
  <w:style w:type="paragraph" w:customStyle="1" w:styleId="412">
    <w:name w:val="Char Char 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14">
    <w:name w:val="五级条标题"/>
    <w:basedOn w:val="415"/>
    <w:next w:val="265"/>
    <w:uiPriority w:val="0"/>
    <w:pPr>
      <w:outlineLvl w:val="6"/>
    </w:pPr>
  </w:style>
  <w:style w:type="paragraph" w:customStyle="1" w:styleId="415">
    <w:name w:val="四级条标题"/>
    <w:basedOn w:val="394"/>
    <w:next w:val="265"/>
    <w:uiPriority w:val="0"/>
    <w:pPr>
      <w:outlineLvl w:val="5"/>
    </w:pPr>
  </w:style>
  <w:style w:type="paragraph" w:customStyle="1" w:styleId="416">
    <w:name w:val="目录 51"/>
    <w:basedOn w:val="1"/>
    <w:next w:val="1"/>
    <w:uiPriority w:val="0"/>
    <w:pPr>
      <w:ind w:left="840"/>
      <w:jc w:val="left"/>
    </w:pPr>
    <w:rPr>
      <w:sz w:val="18"/>
      <w:szCs w:val="18"/>
    </w:rPr>
  </w:style>
  <w:style w:type="paragraph" w:customStyle="1" w:styleId="417">
    <w:name w:val="目录 61"/>
    <w:basedOn w:val="1"/>
    <w:next w:val="1"/>
    <w:uiPriority w:val="0"/>
    <w:pPr>
      <w:ind w:left="1050"/>
      <w:jc w:val="left"/>
    </w:pPr>
    <w:rPr>
      <w:sz w:val="18"/>
      <w:szCs w:val="18"/>
    </w:rPr>
  </w:style>
  <w:style w:type="paragraph" w:customStyle="1" w:styleId="418">
    <w:name w:val="4"/>
    <w:basedOn w:val="1"/>
    <w:next w:val="21"/>
    <w:qFormat/>
    <w:uiPriority w:val="0"/>
    <w:pPr>
      <w:snapToGrid w:val="0"/>
      <w:spacing w:line="440" w:lineRule="exact"/>
    </w:pPr>
    <w:rPr>
      <w:rFonts w:ascii="宋体"/>
      <w:sz w:val="28"/>
      <w:szCs w:val="20"/>
    </w:rPr>
  </w:style>
  <w:style w:type="paragraph" w:customStyle="1" w:styleId="4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420">
    <w:name w:val="Char Char2 Char1"/>
    <w:basedOn w:val="1"/>
    <w:qFormat/>
    <w:uiPriority w:val="0"/>
    <w:rPr>
      <w:rFonts w:ascii="宋体" w:hAnsi="宋体"/>
      <w:b/>
      <w:sz w:val="28"/>
      <w:szCs w:val="28"/>
    </w:rPr>
  </w:style>
  <w:style w:type="paragraph" w:customStyle="1" w:styleId="42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WW-正文首行缩进"/>
    <w:basedOn w:val="21"/>
    <w:qFormat/>
    <w:uiPriority w:val="0"/>
  </w:style>
  <w:style w:type="paragraph" w:customStyle="1" w:styleId="423">
    <w:name w:val="CP Bullet Level 1"/>
    <w:basedOn w:val="1"/>
    <w:qFormat/>
    <w:uiPriority w:val="0"/>
    <w:pPr>
      <w:widowControl/>
      <w:tabs>
        <w:tab w:val="left" w:pos="630"/>
        <w:tab w:val="left" w:pos="1508"/>
      </w:tabs>
      <w:spacing w:before="120"/>
      <w:ind w:left="630" w:hanging="630"/>
      <w:jc w:val="left"/>
    </w:pPr>
    <w:rPr>
      <w:rFonts w:eastAsia="Times New Roman"/>
      <w:kern w:val="0"/>
      <w:sz w:val="24"/>
      <w:szCs w:val="20"/>
      <w:lang w:val="en-GB" w:eastAsia="en-US"/>
    </w:rPr>
  </w:style>
  <w:style w:type="paragraph" w:customStyle="1" w:styleId="4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425">
    <w:name w:val="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26">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目录 81"/>
    <w:basedOn w:val="1"/>
    <w:next w:val="1"/>
    <w:uiPriority w:val="0"/>
    <w:pPr>
      <w:ind w:left="1470"/>
      <w:jc w:val="left"/>
    </w:pPr>
    <w:rPr>
      <w:sz w:val="18"/>
      <w:szCs w:val="18"/>
    </w:rPr>
  </w:style>
  <w:style w:type="paragraph" w:customStyle="1" w:styleId="428">
    <w:name w:val="标题5"/>
    <w:basedOn w:val="5"/>
    <w:qFormat/>
    <w:uiPriority w:val="0"/>
    <w:pPr>
      <w:tabs>
        <w:tab w:val="left" w:pos="851"/>
      </w:tabs>
    </w:pPr>
    <w:rPr>
      <w:rFonts w:ascii="宋体" w:hAnsi="宋体" w:eastAsia="黑体"/>
      <w:iCs/>
      <w:color w:val="000000"/>
      <w:sz w:val="24"/>
    </w:rPr>
  </w:style>
  <w:style w:type="paragraph" w:customStyle="1" w:styleId="429">
    <w:name w:val="标题11"/>
    <w:basedOn w:val="2"/>
    <w:qFormat/>
    <w:uiPriority w:val="0"/>
    <w:pPr>
      <w:keepNext w:val="0"/>
      <w:keepLines w:val="0"/>
      <w:tabs>
        <w:tab w:val="left" w:pos="1980"/>
      </w:tabs>
      <w:adjustRightInd w:val="0"/>
      <w:spacing w:before="0" w:after="0" w:line="360" w:lineRule="auto"/>
      <w:ind w:left="0" w:firstLine="0"/>
      <w:textAlignment w:val="baseline"/>
      <w:outlineLvl w:val="9"/>
    </w:pPr>
    <w:rPr>
      <w:rFonts w:ascii="宋体"/>
      <w:b w:val="0"/>
      <w:bCs w:val="0"/>
      <w:spacing w:val="2"/>
      <w:sz w:val="28"/>
      <w:szCs w:val="28"/>
    </w:rPr>
  </w:style>
  <w:style w:type="paragraph" w:customStyle="1" w:styleId="430">
    <w:name w:val="p0"/>
    <w:basedOn w:val="1"/>
    <w:qFormat/>
    <w:uiPriority w:val="0"/>
    <w:pPr>
      <w:widowControl/>
    </w:pPr>
    <w:rPr>
      <w:kern w:val="0"/>
      <w:szCs w:val="21"/>
    </w:rPr>
  </w:style>
  <w:style w:type="paragraph" w:customStyle="1" w:styleId="431">
    <w:name w:val="样式3"/>
    <w:basedOn w:val="5"/>
    <w:qFormat/>
    <w:uiPriority w:val="0"/>
    <w:pPr>
      <w:adjustRightInd/>
      <w:spacing w:line="415" w:lineRule="auto"/>
      <w:textAlignment w:val="auto"/>
    </w:pPr>
    <w:rPr>
      <w:rFonts w:eastAsia="Arial"/>
      <w:bCs/>
      <w:kern w:val="2"/>
      <w:szCs w:val="32"/>
    </w:rPr>
  </w:style>
  <w:style w:type="paragraph" w:customStyle="1" w:styleId="432">
    <w:name w:val="批注框文本1"/>
    <w:basedOn w:val="1"/>
    <w:qFormat/>
    <w:uiPriority w:val="0"/>
    <w:rPr>
      <w:sz w:val="18"/>
      <w:szCs w:val="18"/>
    </w:rPr>
  </w:style>
  <w:style w:type="paragraph" w:customStyle="1" w:styleId="433">
    <w:name w:val="内容目录 10"/>
    <w:basedOn w:val="35"/>
    <w:qFormat/>
    <w:uiPriority w:val="0"/>
    <w:pPr>
      <w:suppressLineNumbers/>
      <w:tabs>
        <w:tab w:val="right" w:leader="dot" w:pos="12091"/>
      </w:tabs>
      <w:suppressAutoHyphens/>
      <w:spacing w:before="0"/>
      <w:ind w:left="3780"/>
      <w:jc w:val="both"/>
    </w:pPr>
    <w:rPr>
      <w:rFonts w:ascii="Times New Roman" w:eastAsia="宋体"/>
      <w:b w:val="0"/>
      <w:bCs w:val="0"/>
      <w:caps w:val="0"/>
      <w:kern w:val="1"/>
      <w:sz w:val="20"/>
      <w:szCs w:val="20"/>
      <w:lang w:eastAsia="ar-SA"/>
    </w:rPr>
  </w:style>
  <w:style w:type="paragraph" w:customStyle="1" w:styleId="43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3300"/>
      <w:kern w:val="0"/>
      <w:sz w:val="20"/>
      <w:szCs w:val="20"/>
    </w:rPr>
  </w:style>
  <w:style w:type="paragraph" w:customStyle="1" w:styleId="436">
    <w:name w:val="张全喜"/>
    <w:basedOn w:val="27"/>
    <w:qFormat/>
    <w:uiPriority w:val="0"/>
    <w:pPr>
      <w:pageBreakBefore/>
      <w:tabs>
        <w:tab w:val="left" w:pos="0"/>
      </w:tabs>
      <w:adjustRightInd w:val="0"/>
      <w:snapToGrid w:val="0"/>
      <w:spacing w:line="300" w:lineRule="auto"/>
      <w:ind w:left="432" w:hanging="432"/>
    </w:pPr>
    <w:rPr>
      <w:rFonts w:ascii="Times New Roman" w:hAnsi="Times New Roman" w:cs="Times New Roman"/>
      <w:sz w:val="24"/>
      <w:szCs w:val="24"/>
    </w:rPr>
  </w:style>
  <w:style w:type="paragraph" w:customStyle="1" w:styleId="43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4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9">
    <w:name w:val="表格内正文"/>
    <w:qFormat/>
    <w:uiPriority w:val="0"/>
    <w:pPr>
      <w:widowControl w:val="0"/>
      <w:spacing w:line="320" w:lineRule="exact"/>
      <w:jc w:val="center"/>
    </w:pPr>
    <w:rPr>
      <w:rFonts w:ascii="宋体" w:hAnsi="宋体" w:eastAsia="宋体" w:cs="Times New Roman"/>
      <w:kern w:val="2"/>
      <w:sz w:val="24"/>
      <w:szCs w:val="21"/>
      <w:lang w:val="en-US" w:eastAsia="zh-CN" w:bidi="ar-SA"/>
    </w:rPr>
  </w:style>
  <w:style w:type="paragraph" w:customStyle="1" w:styleId="440">
    <w:name w:val="标题 21"/>
    <w:basedOn w:val="1"/>
    <w:next w:val="1"/>
    <w:uiPriority w:val="0"/>
    <w:pPr>
      <w:keepNext/>
      <w:keepLines/>
      <w:spacing w:before="260" w:after="260" w:line="413" w:lineRule="auto"/>
      <w:outlineLvl w:val="1"/>
    </w:pPr>
    <w:rPr>
      <w:rFonts w:hint="eastAsia" w:ascii="Arial" w:hAnsi="Arial" w:eastAsia="黑体"/>
      <w:b/>
      <w:sz w:val="32"/>
      <w:szCs w:val="20"/>
    </w:rPr>
  </w:style>
  <w:style w:type="paragraph" w:customStyle="1" w:styleId="441">
    <w:name w:val="_Style 5"/>
    <w:basedOn w:val="1"/>
    <w:qFormat/>
    <w:uiPriority w:val="34"/>
    <w:pPr>
      <w:ind w:firstLine="420" w:firstLineChars="200"/>
    </w:pPr>
    <w:rPr>
      <w:szCs w:val="22"/>
    </w:rPr>
  </w:style>
  <w:style w:type="paragraph" w:customStyle="1" w:styleId="442">
    <w:name w:val="Char2"/>
    <w:basedOn w:val="1"/>
    <w:qFormat/>
    <w:uiPriority w:val="0"/>
    <w:pPr>
      <w:tabs>
        <w:tab w:val="left" w:pos="425"/>
      </w:tabs>
      <w:ind w:left="425" w:hanging="425"/>
    </w:pPr>
    <w:rPr>
      <w:sz w:val="24"/>
    </w:rPr>
  </w:style>
  <w:style w:type="paragraph" w:customStyle="1" w:styleId="443">
    <w:name w:val="编号1"/>
    <w:basedOn w:val="1"/>
    <w:uiPriority w:val="0"/>
    <w:pPr>
      <w:tabs>
        <w:tab w:val="left" w:pos="425"/>
      </w:tabs>
      <w:snapToGrid w:val="0"/>
      <w:spacing w:line="360" w:lineRule="auto"/>
      <w:ind w:left="425" w:hanging="425"/>
    </w:pPr>
    <w:rPr>
      <w:rFonts w:eastAsia="楷体_GB2312"/>
      <w:sz w:val="28"/>
      <w:szCs w:val="20"/>
    </w:rPr>
  </w:style>
  <w:style w:type="paragraph" w:customStyle="1" w:styleId="44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5">
    <w:name w:val="b15"/>
    <w:basedOn w:val="1"/>
    <w:qFormat/>
    <w:uiPriority w:val="0"/>
    <w:pPr>
      <w:widowControl/>
      <w:spacing w:before="100" w:beforeAutospacing="1" w:after="100" w:afterAutospacing="1"/>
      <w:jc w:val="left"/>
    </w:pPr>
    <w:rPr>
      <w:rFonts w:ascii="宋体" w:hAnsi="宋体"/>
      <w:b/>
      <w:bCs/>
      <w:color w:val="000000"/>
      <w:kern w:val="0"/>
      <w:sz w:val="23"/>
      <w:szCs w:val="23"/>
    </w:rPr>
  </w:style>
  <w:style w:type="paragraph" w:customStyle="1" w:styleId="446">
    <w:name w:val="框内容"/>
    <w:basedOn w:val="21"/>
    <w:qFormat/>
    <w:uiPriority w:val="0"/>
  </w:style>
  <w:style w:type="paragraph" w:customStyle="1" w:styleId="447">
    <w:name w:val="列出段落11"/>
    <w:basedOn w:val="1"/>
    <w:qFormat/>
    <w:uiPriority w:val="0"/>
    <w:pPr>
      <w:autoSpaceDE w:val="0"/>
      <w:autoSpaceDN w:val="0"/>
      <w:adjustRightInd w:val="0"/>
      <w:spacing w:line="315" w:lineRule="atLeast"/>
      <w:ind w:firstLine="420" w:firstLineChars="200"/>
      <w:jc w:val="left"/>
    </w:pPr>
    <w:rPr>
      <w:rFonts w:ascii="楷体_GB2312" w:eastAsia="楷体_GB2312" w:cs="Century"/>
      <w:kern w:val="0"/>
      <w:sz w:val="28"/>
      <w:szCs w:val="28"/>
    </w:rPr>
  </w:style>
  <w:style w:type="paragraph" w:customStyle="1" w:styleId="448">
    <w:name w:val="样式 标题 2 + 宋体 四号"/>
    <w:basedOn w:val="3"/>
    <w:qFormat/>
    <w:uiPriority w:val="0"/>
    <w:pPr>
      <w:keepLines w:val="0"/>
      <w:tabs>
        <w:tab w:val="left" w:pos="1505"/>
        <w:tab w:val="clear" w:pos="180"/>
        <w:tab w:val="clear" w:pos="360"/>
      </w:tabs>
      <w:adjustRightInd/>
      <w:spacing w:before="0" w:line="413" w:lineRule="auto"/>
      <w:ind w:left="992" w:right="0" w:rightChars="0" w:hanging="567"/>
      <w:jc w:val="both"/>
    </w:pPr>
    <w:rPr>
      <w:rFonts w:hAnsi="宋体"/>
      <w:bCs/>
      <w:kern w:val="2"/>
      <w:szCs w:val="32"/>
    </w:rPr>
  </w:style>
  <w:style w:type="paragraph" w:customStyle="1" w:styleId="449">
    <w:name w:val="编号3"/>
    <w:basedOn w:val="1"/>
    <w:qFormat/>
    <w:uiPriority w:val="0"/>
    <w:pPr>
      <w:tabs>
        <w:tab w:val="left" w:pos="709"/>
      </w:tabs>
      <w:snapToGrid w:val="0"/>
      <w:spacing w:line="360" w:lineRule="auto"/>
      <w:ind w:left="709" w:hanging="709"/>
    </w:pPr>
    <w:rPr>
      <w:rFonts w:eastAsia="楷体_GB2312"/>
      <w:sz w:val="28"/>
      <w:szCs w:val="20"/>
    </w:rPr>
  </w:style>
  <w:style w:type="paragraph" w:customStyle="1" w:styleId="450">
    <w:name w:val="Char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51">
    <w:name w:val="Char Char21"/>
    <w:basedOn w:val="1"/>
    <w:uiPriority w:val="0"/>
  </w:style>
  <w:style w:type="paragraph" w:customStyle="1" w:styleId="452">
    <w:name w:val="样式 标题 3H3h33rd levelLevel 3 Headl3CTHeading 3 - oldISO2..."/>
    <w:basedOn w:val="5"/>
    <w:qFormat/>
    <w:uiPriority w:val="0"/>
    <w:pPr>
      <w:keepNext w:val="0"/>
      <w:keepLines w:val="0"/>
      <w:tabs>
        <w:tab w:val="left" w:pos="851"/>
        <w:tab w:val="left" w:pos="1389"/>
      </w:tabs>
      <w:suppressAutoHyphens/>
      <w:autoSpaceDE w:val="0"/>
      <w:adjustRightInd/>
      <w:spacing w:before="0" w:after="0" w:line="480" w:lineRule="auto"/>
      <w:jc w:val="left"/>
      <w:textAlignment w:val="auto"/>
    </w:pPr>
    <w:rPr>
      <w:rFonts w:ascii="Arial" w:hAnsi="Arial"/>
      <w:bCs/>
      <w:color w:val="000000"/>
      <w:kern w:val="1"/>
      <w:sz w:val="21"/>
      <w:szCs w:val="24"/>
      <w:lang w:eastAsia="ar-SA"/>
    </w:rPr>
  </w:style>
  <w:style w:type="paragraph" w:customStyle="1" w:styleId="4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5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455">
    <w:name w:val="样式 标题 2H2标题 1.1Title2h2Underrubrik1prop2标题二H21Heading 2..."/>
    <w:basedOn w:val="3"/>
    <w:qFormat/>
    <w:uiPriority w:val="0"/>
    <w:pPr>
      <w:keepLines w:val="0"/>
      <w:tabs>
        <w:tab w:val="left" w:pos="4320"/>
        <w:tab w:val="clear" w:pos="180"/>
        <w:tab w:val="clear" w:pos="360"/>
      </w:tabs>
      <w:adjustRightInd/>
      <w:spacing w:before="0" w:line="413" w:lineRule="auto"/>
      <w:ind w:left="420" w:right="0" w:rightChars="0"/>
      <w:jc w:val="both"/>
    </w:pPr>
    <w:rPr>
      <w:rFonts w:hAnsi="宋体" w:cs="宋体"/>
      <w:bCs/>
      <w:kern w:val="2"/>
      <w:sz w:val="21"/>
    </w:rPr>
  </w:style>
  <w:style w:type="paragraph" w:customStyle="1" w:styleId="456">
    <w:name w:val="&lt;--"/>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457">
    <w:name w:val="样式 小四 段前: 5 磅 段后: 5 磅 首行缩进:  2 字符"/>
    <w:basedOn w:val="1"/>
    <w:uiPriority w:val="0"/>
    <w:pPr>
      <w:spacing w:line="400" w:lineRule="exact"/>
    </w:pPr>
    <w:rPr>
      <w:rFonts w:ascii="宋体" w:hAnsi="宋体"/>
      <w:sz w:val="24"/>
    </w:rPr>
  </w:style>
  <w:style w:type="paragraph" w:customStyle="1" w:styleId="458">
    <w:name w:val="修订1"/>
    <w:hidden/>
    <w:unhideWhenUsed/>
    <w:uiPriority w:val="99"/>
    <w:rPr>
      <w:rFonts w:ascii="Times New Roman" w:hAnsi="Times New Roman" w:eastAsia="宋体" w:cs="Times New Roman"/>
      <w:kern w:val="2"/>
      <w:sz w:val="21"/>
      <w:szCs w:val="24"/>
      <w:lang w:val="en-US" w:eastAsia="zh-CN" w:bidi="ar-SA"/>
    </w:rPr>
  </w:style>
  <w:style w:type="character" w:customStyle="1" w:styleId="459">
    <w:name w:val="font101"/>
    <w:basedOn w:val="56"/>
    <w:qFormat/>
    <w:uiPriority w:val="0"/>
    <w:rPr>
      <w:rFonts w:hint="eastAsia" w:ascii="宋体" w:hAnsi="宋体" w:eastAsia="宋体" w:cs="宋体"/>
      <w:color w:val="000000"/>
      <w:sz w:val="21"/>
      <w:szCs w:val="21"/>
      <w:u w:val="none"/>
    </w:rPr>
  </w:style>
  <w:style w:type="paragraph" w:customStyle="1" w:styleId="460">
    <w:name w:val="Normal_0"/>
    <w:qFormat/>
    <w:uiPriority w:val="0"/>
    <w:rPr>
      <w:rFonts w:ascii="Times New Roman" w:hAnsi="Times New Roman" w:cs="Times New Roman" w:eastAsiaTheme="minorEastAsia"/>
      <w:sz w:val="24"/>
      <w:szCs w:val="24"/>
      <w:lang w:val="en-US" w:eastAsia="zh-CN" w:bidi="ar-SA"/>
    </w:rPr>
  </w:style>
  <w:style w:type="character" w:customStyle="1" w:styleId="461">
    <w:name w:val="未处理的提及2"/>
    <w:basedOn w:val="56"/>
    <w:semiHidden/>
    <w:unhideWhenUsed/>
    <w:uiPriority w:val="99"/>
    <w:rPr>
      <w:color w:val="605E5C"/>
      <w:shd w:val="clear" w:color="auto" w:fill="E1DFDD"/>
    </w:rPr>
  </w:style>
  <w:style w:type="paragraph" w:customStyle="1" w:styleId="462">
    <w:name w:val="_Style 460"/>
    <w:basedOn w:val="1"/>
    <w:next w:val="93"/>
    <w:qFormat/>
    <w:uiPriority w:val="34"/>
    <w:pPr>
      <w:ind w:firstLine="420" w:firstLineChars="200"/>
    </w:pPr>
    <w:rPr>
      <w:rFonts w:ascii="Calibri" w:hAnsi="Calibri"/>
      <w:kern w:val="0"/>
      <w:sz w:val="20"/>
      <w:szCs w:val="20"/>
    </w:rPr>
  </w:style>
  <w:style w:type="paragraph" w:customStyle="1" w:styleId="463">
    <w:name w:val="p16"/>
    <w:basedOn w:val="1"/>
    <w:uiPriority w:val="99"/>
    <w:pPr>
      <w:widowControl/>
      <w:snapToGrid w:val="0"/>
      <w:spacing w:line="240" w:lineRule="atLeast"/>
    </w:pPr>
    <w:rPr>
      <w:rFonts w:ascii="??" w:hAnsi="??" w:cs="宋体"/>
      <w:kern w:val="0"/>
      <w:sz w:val="24"/>
    </w:rPr>
  </w:style>
  <w:style w:type="character" w:customStyle="1" w:styleId="464">
    <w:name w:val="未处理的提及3"/>
    <w:basedOn w:val="56"/>
    <w:semiHidden/>
    <w:unhideWhenUsed/>
    <w:uiPriority w:val="99"/>
    <w:rPr>
      <w:color w:val="605E5C"/>
      <w:shd w:val="clear" w:color="auto" w:fill="E1DFDD"/>
    </w:rPr>
  </w:style>
  <w:style w:type="paragraph" w:customStyle="1" w:styleId="465">
    <w:name w:val="_Style 463"/>
    <w:basedOn w:val="1"/>
    <w:next w:val="93"/>
    <w:qFormat/>
    <w:uiPriority w:val="34"/>
    <w:pPr>
      <w:ind w:firstLine="420" w:firstLineChars="200"/>
    </w:pPr>
    <w:rPr>
      <w:rFonts w:ascii="Calibri" w:hAnsi="Calibri"/>
      <w:kern w:val="0"/>
      <w:sz w:val="20"/>
      <w:szCs w:val="20"/>
    </w:rPr>
  </w:style>
  <w:style w:type="paragraph" w:customStyle="1" w:styleId="466">
    <w:name w:val="_Style 464"/>
    <w:basedOn w:val="1"/>
    <w:next w:val="93"/>
    <w:qFormat/>
    <w:uiPriority w:val="34"/>
    <w:pPr>
      <w:ind w:firstLine="420" w:firstLineChars="200"/>
    </w:pPr>
    <w:rPr>
      <w:rFonts w:ascii="Calibri" w:hAnsi="Calibri"/>
      <w:kern w:val="0"/>
      <w:sz w:val="20"/>
      <w:szCs w:val="20"/>
    </w:rPr>
  </w:style>
  <w:style w:type="paragraph" w:customStyle="1" w:styleId="467">
    <w:name w:val="_Style 465"/>
    <w:basedOn w:val="1"/>
    <w:next w:val="93"/>
    <w:qFormat/>
    <w:uiPriority w:val="34"/>
    <w:pPr>
      <w:ind w:firstLine="420" w:firstLineChars="200"/>
    </w:pPr>
    <w:rPr>
      <w:rFonts w:ascii="Calibri" w:hAnsi="Calibri"/>
      <w:kern w:val="0"/>
      <w:sz w:val="20"/>
      <w:szCs w:val="20"/>
      <w:lang w:val="zh-CN"/>
    </w:rPr>
  </w:style>
  <w:style w:type="character" w:customStyle="1" w:styleId="468">
    <w:name w:val="纯文本 Char3"/>
    <w:qFormat/>
    <w:uiPriority w:val="0"/>
    <w:rPr>
      <w:rFonts w:ascii="宋体" w:hAnsi="Courier New" w:cs="Courier New"/>
      <w:szCs w:val="21"/>
    </w:rPr>
  </w:style>
  <w:style w:type="paragraph" w:customStyle="1" w:styleId="469">
    <w:name w:val="_Style 468"/>
    <w:basedOn w:val="1"/>
    <w:next w:val="93"/>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F7F9B-9AA8-419F-B0F3-B442A21C967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37</Pages>
  <Words>6483</Words>
  <Characters>7248</Characters>
  <Lines>164</Lines>
  <Paragraphs>46</Paragraphs>
  <TotalTime>20</TotalTime>
  <ScaleCrop>false</ScaleCrop>
  <LinksUpToDate>false</LinksUpToDate>
  <CharactersWithSpaces>7625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2024-09-11T08:34:00Z</dcterms:created>
  <dc:creator>8615920514361</dc:creator>
  <cp:lastModifiedBy>Administrator</cp:lastModifiedBy>
  <dcterms:modified xsi:type="dcterms:W3CDTF">2025-06-09T08:26:17Z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2B792E8B34B04130B90AAA44CD307645_13</vt:lpwstr>
  </property>
</Properties>
</file>